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pasākuma "Ieguldījumi materiālajos aktīvos" apakšpasākumā "Atbalsts ieguldījumiem pārstrādē"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gatavība ieviešanai (punktu skaitu reizina ar attiecīgo būvniecības izdevumu proporciju no kopējiem projekta attiecināmajiem izdevumiem)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 vai paskaidrojuma raksts (apliecinājuma karte) ar būvvaldes atzīmi par būvniecības ieceres akceptu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Piešķirtā publiskā finansējuma apmērs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vidējie ieņēmumi pēdējos divos noslēgtajos gados no lauksaimniecības produktu ražošanas un pārstrādes salīdzinājumā ar piešķirto publisko finansējumu LAP 2014–2020 apakšpasākumā "Atbalsts ieguldījumiem pārstrādē" un šo noteikumu </w:t>
            </w:r>
            <w:r w:rsidR="00000000" w:rsidRPr="00000000" w:rsidDel="00000000">
              <w:rPr>
                <w:rtl w:val="0"/>
              </w:rPr>
              <w:t xml:space="preserve">1.2.</w:t>
            </w:r>
            <w:r w:rsidR="00000000" w:rsidRPr="00000000" w:rsidDel="00000000">
              <w:rPr>
                <w:rtl w:val="0"/>
              </w:rPr>
              <w:t xml:space="preserve"> apakšpunktā minētajā apakšpasākumā kopš 2014. gada.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(Ja pēdējos divos noslēgtajos gados ir bijis apgrozījums, bet atbalsts nav piešķirts, t. i, nav pieņemts Lauku atbalsta dienesta lēmums, pretendentam piešķir maksimālo punktu skaitu kritērijā.)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Iemaksātās nodokļu iemaksas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pēdējā noslēgtajā gadā iemaksātās valsts sociālās apdrošināšanas iemaksas vidēji uz vienu nodarbināto (t. sk. pašnodarbinātu personu), dalītas ar 100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ieguldījumu mērķis (saskaņā ar šo noteikumu </w:t>
            </w:r>
            <w:r w:rsidR="00000000" w:rsidRPr="00000000" w:rsidDel="00000000">
              <w:rPr>
                <w:rtl w:val="0"/>
              </w:rPr>
              <w:t xml:space="preserve">12.</w:t>
            </w:r>
            <w:r w:rsidR="00000000" w:rsidRPr="00000000" w:rsidDel="00000000">
              <w:rPr>
                <w:rtl w:val="0"/>
              </w:rPr>
              <w:t xml:space="preserve">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paredzēti ieguldījumi energoefektivitātē (enerģijas ietaupījums vismaz par 20 %, ko pierāda energoaudita atzinums), gaisa vai ūdens piesārņojuma mazināšanā vai atjaunojamo resursu izmantošanā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ir kādas pārtikas kvalitātes shēmas operators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ir nacionālās pārtikas kvalitātes shēmas, bioloģiskās lauksaimniecības shēmas, aizsargātu ģeogrāfiskās izcelsmes norāžu, aizsargātu cilmes vietas nosaukumu shēmas vai garantētu tradicionālo īpatnību shēmas operators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Kopprojekta īstenošana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tiek īstenots kā kopprojekts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netiek īstenots kā kopprojekts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Vietējās izcelsmes izejvielas izmantošana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iesnieguma iesniegšanas brīdī un projekta īstenošanas laikā nodrošina vietējās izcelsmes izejvielas apjomu, kas pārsniedz šo noteikumu </w:t>
            </w:r>
            <w:r w:rsidR="00000000" w:rsidRPr="00000000" w:rsidDel="00000000">
              <w:rPr>
                <w:rtl w:val="0"/>
              </w:rPr>
              <w:t xml:space="preserve">40.</w:t>
            </w:r>
            <w:r w:rsidR="00000000" w:rsidRPr="00000000" w:rsidDel="00000000">
              <w:rPr>
                <w:rtl w:val="0"/>
              </w:rPr>
              <w:t xml:space="preserve"> punktā noteikto apjomu (jebkuram pretendentam, kas izmanto lielāku izejvielu apjomu arī ārpus valsts pilsētām):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10–20 %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nekā 20 %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30 punktu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Lauku atbalsta dienests iegūst informāciju no Būvniecības informācijas sistēmas. Ja tajā nav pieejama informācija, nepieciešamās ziņas iesniedz atbalsta pretendents.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 B 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būvniecības proporciju pret kopējiem attiecināmiem projekta izdevumiem;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punktu skaits kritērijā pēc iesniegto dokumentu veida;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projektā paredzētie būvniecības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projekta kopējie attiecināmie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Punktus piešķir par vienu kritēriju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251"/>
        <w:gridCol w:w="898"/>
        <w:gridCol w:w="4251"/>
        <w:tblGridChange w:id="0">
          <w:tblGrid>
            <w:gridCol w:w="4251"/>
            <w:gridCol w:w="898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 + C) / 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10,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ieņēmumu proporciju pret piešķirto atbalstu;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+ C – pretendenta ieņēmumi no lauksaimniecības produktu ražošanas un pārstrādes pēdējos divos noslēgtajos gados (B – pirmajā gadā, C – otrajā gadā). Jaunam saimnieciskās darbības veicējam, kam nav ieņēmumu pēdējos divos noslēgtajos gados, izmanto pēdējā noslēgtā gada datus, dalot ar 1;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pretendentam piešķirtais publiskais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/ 100,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pretendenta (zemnieku saimniecībai – arī zemnieku saimniecības īpašnieka par sevi iemaksātās iemaksas) pēdējā noslēgtajā gadā iemaksātās valsts sociālās apdrošināšanas iemaksas vidēji uz vienu pēdējā noslēgtajā gadā nodarbināto (t. sk. pašnodarbināto);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pretendenta pēdējā noslēgtajā gadā iemaksātās valsts sociālās apdrošināšanas iemaksas;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vidējais pēdējā noslēgtajā gadā nodarbināto skaits (t. sk. pašnodarbinātie).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Kritērija aprēķinā izmanto Valsts ieņēmumu dienesta datubāzes datus.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Kopprojektā attiecina pret pretendentiem, kas pārstrādā lauksaimniecības produktus.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24-TA-760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24-TA-760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noteikumu_konsolidētā_versija_p6_24-TA-760.docx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