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pasākuma "Ieguldījumi materiālajos aktīvos" apakšpasākumā "Atbalsts ieguldījumiem lauksaimniecības un mežsaimniecības infrastruktūras attīstībā"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paredzēti būvniecības darbi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izmantoti videi draudzīgas meliorācijas sistēmas elementi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paredz posmu ar meandriem, sedimentācijas dīķu, divpakāpju meliorācijas grāvju vai akmeņu krāvumu izveidi, kontrolētās drenāžas akas un mākslīgo mitrāju izveidi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sasaiste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nozīmes koplietošanas meliorācijas sistēma ietek valsts nozīmes meliorācijas sistēmā, kas atjaunota (darbi pabeigti vai uzsākti) 2014.–2020. gada plānošanas perioda apakšpasākumā "Atbalsts ieguldījumiem lauksaimniecības un mežsaimniecības infrastruktūras attīstībā"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attiecināmās summas lielums projektu iesniegšanas kārtā apakšpasākumā "Atbalsts ieguldījumiem lauksaimniecības un mežsaimniecības infrastruktūras attīstībā" (summē visus uz attiecīgo apakšpasākumu iesniegtos projektus attiecīgajā kārtā)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50 001–150 000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150 001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30 punktu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24-TA-760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24-TA-760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noteikumu_konsolidētā_versija_p8_24-TA-760.docx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