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martā (prot. Nr. 14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2016. gada 8. novembra rīkojumā Nr. 665 "Par atļauju Finanšu ministrijai uzņemties valsts budžeta ilgtermiņa saistības, lai nodrošinātu Izložu un azartspēļu uzraudzības inspekcijas dalības maksu starptautiskajā organizācijā "Eiropas azartspēļu uzraudzības iestāžu forums""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8. novembra rīkojumā Nr. 665 "Par atļauju Finanšu ministrijai uzņemties valsts budžeta ilgtermiņa saistības, lai nodrošinātu Izložu un azartspēļu uzraudzības inspekcijas dalības maksu starptautiskajā organizācijā "Eiropas azartspēļu uzraudzības iestāžu forums"" (Latvijas Vēstnesis, 2016, 220.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rīkojuma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"Par atļauju Finanšu ministrijai uzņemties valsts budžeta ilgtermiņa saistības, lai nodrošinātu Valsts ieņēmumu dienesta dalības maksu starptautiskajā organizācijā "Eiropas azartspēļu uzraudzības iestāžu forums"".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25-TA-2999</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25-TA-2999</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rīkojuma_(grozījumu)_projekts_25-TA-2999.docx</dc:title>
</cp:coreProperties>
</file>

<file path=docProps/custom.xml><?xml version="1.0" encoding="utf-8"?>
<Properties xmlns="http://schemas.openxmlformats.org/officeDocument/2006/custom-properties" xmlns:vt="http://schemas.openxmlformats.org/officeDocument/2006/docPropsVTypes"/>
</file>