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janvārī (prot. Nr. 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Plāns darbam ar diasporu 2024.–2026.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darbam ar diasporu 2024.–2026.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Ārlietu ministriju par atbildīgo institūciju plāna īstenošanā. Ārlietu ministrijai plānā paredzētos pasākumus īstenot sadarbībā ar Aizsardzības ministriju, Ekonomikas ministriju, Iekšlietu ministriju, Izglītības un zinātnes ministriju, Kultūras ministriju, Labklājības ministriju, Sabiedrisko elektronisko plašsaziņas līdzekļu padomi, Sabiedrības integrācijas fondu, Valsts kanceleju, Veselības ministriju un Vides aizsardzības un reģionālās attīstības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likumprojekta "Par valsts budžetu 2025. gadam un budžeta ietvaru 2025., 2026. un 2027. gadam"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atbilstoši kompetencei pēc Ārlietu ministrijas pieprasījuma iesniegt informāciju par plāna uzdevumu izpildi. Ārlietu ministrijai sagatavot un ārlietu ministram līdz 2027. gada 1. jūlijam iesniegt noteiktā kārtībā Ministru kabinetā informatīvo ziņojumu par plāna izpildi un plāna ietekmes izvērtējumu.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23-TA-2905</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23-TA-2905</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rīkojuma_projekts_23-TA-2905.docx</dc:title>
</cp:coreProperties>
</file>

<file path=docProps/custom.xml><?xml version="1.0" encoding="utf-8"?>
<Properties xmlns="http://schemas.openxmlformats.org/officeDocument/2006/custom-properties" xmlns:vt="http://schemas.openxmlformats.org/officeDocument/2006/docPropsVTypes"/>
</file>