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282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13. maijā (prot. Nr. 19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 (Latvijas Vēstnesis, 2023, 121. nr.; 2024, 108., 232.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sasniedzamos atskaites punktus, nacionālo rādītāju, mērķrādītājus, uzraudzības rādītāju un kopējos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6.1.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nacionālais rādītājs – līdz 2026. gada 30. jūnijam – 33 961 atbalstu saņēmušais (dalību uzsākušais) bezdarbnieks, darba meklētājs, bezdarba riskam pakļautā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Atskaites punktu, nacionālā rādītāja, mērķrādītāju, uzraudzības rādītāja un kopējo rādītāju sasniegšanu apliecina Kohēzijas politikas fondu vadības informācijas sistēmā (turpmāk – vadības informācijas sistēma) pieejams šāds dokumentu un informācijas kopums: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šo noteikumu 6.1.1. apakšpunktā minētā atskaites punkta sasniegšanu apliecina Labklājības ministrijas izveidotās mācību komisijas sēdes protokols (kopija), ar kuru apstiprināts jauns pārkvalificēšanās un prasmju pilnveides izglītības programmu saraksts (tostarp digitālo prasmju izglītības programmas) finansējuma saņēmēja klientiem, un informācija no protokola attiecīgajām daļām, kas apstiprina atbilstību norādītajam atskaites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šo noteikumu 6.1.2. apakšpunktā minētā atskaites punkta sasniegšanu apliecina: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īss prasmju novērtēšanai izstrādātā digitālā rīka apraksts, kas apliecina atbilstību atskaites punktam, tai skaitā norādot, kā digitālais rīks uzlabos klientu profilēšanas metodi atbilstoši atskaites punkta aprakstam;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klientu profilēšanas metodes apraksts, norādot, kā tā darbojas, kā to papildina digitālais rīks un kā testu rezultāti tiek izmantoti karjeras konsultāciju sniegšanas procesā un mācību vajadzību noteikšanā;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7.2.3. finansējuma saņēmēja un pakalpojuma sniedzēja parakstīts pieņemšanas un nodošanas akts (kopija) par izstrādāto digitālo rīku, ja digitālo rīku izstrādā publiskajā iepirkumā piesaistīts pakalpojumu sniedzējs;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7.2.4. finansējuma saņēmēja sagatavots un anonimizēts no Bezdarbnieku uzskaites un reģistrēto vakanču informācijas sistēmas (turpmāk – BURVIS) izdrukāts to mērķa grupas personu saraksts, kurām šo noteikumu 6.1.2. apakšpunktā minētā atskaites punkta sasniegšanas periodā tika veikta prasmju novērtēšana, izmantojot digitālo rīku;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šo noteikumu 6.1.</w:t>
      </w:r>
      <w:r w:rsidR="00000000" w:rsidRPr="00000000" w:rsidDel="00000000">
        <w:rPr>
          <w:vertAlign w:val="superscript"/>
          <w:rtl w:val="0"/>
        </w:rPr>
        <w:t xml:space="preserve">1</w:t>
      </w:r>
      <w:r w:rsidR="00000000" w:rsidRPr="00000000" w:rsidDel="00000000">
        <w:rPr>
          <w:rtl w:val="0"/>
        </w:rPr>
        <w:t xml:space="preserve">  apakšpunktā minētā nacionālā rādītāja, 6.2. apakšpunktā minēto mērķrādītāju un 6.3. apakšpunktā minētā uzraudzības rādītāja sasniegšanu apliecina: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7.3.1. </w:t>
      </w:r>
      <w:r w:rsidR="00000000" w:rsidRPr="00000000" w:rsidDel="00000000">
        <w:rPr>
          <w:i w:val="1"/>
          <w:rtl w:val="0"/>
        </w:rPr>
        <w:t xml:space="preserve">Svītrots;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finansējuma saņēmēja sagatavots un anonimizēts to mērķa grupas personu saraksts, kuras piedalījušās (tai skaitā pabeigušas dalību) finansējuma saņēmēja īstenotajās šo noteikumu 15.2., 15.3., 15.4., 15.5., 15.6., 15.7., 15.8. un 15.9. apakšpunktā minētajās atbalstāmajās darbībās (izdruka no BURVIS). Finansējuma saņēmējs sarakstā iekļauj norādi, vai mērķa grupas personai ir veikta prasmju novērtēšana, izmantojot digitālo rīku;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7.3.3. īss tēmu apraksts par tiem prasmju pilnveides pasākumiem, kuros  ir piedalījušās mērķa grupas personas;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šo noteikumu 6.4.1. apakšpunktā minētā kopējā rādītāja izpildi apliecina finansējuma saņēmēja sagatavots un anonimizēts to mērķa grupas personu saraksts, kuras piedalījušās finansējuma saņēmēja īstenotajās šo noteikumu 15.2., 15.3., 15.4., 15.5., 15.6., 15.7., 15.8. un 15.9. apakšpunktā minētajās atbalstāmajās darbībās (izdruka no BURVIS), dalījumā pa dzimumiem un vecuma grupām, atsevišķi norādot informāciju par personām, kuras piedalījušās digitālo prasmju pilnveidē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šo noteikumu 6.4.2. apakšpunktā minētā kopējā rādītāja izpildi apliecina finansējuma saņēmēja sagatavots un anonimizēts to bezdarbnieku saraksts, kuri četru nedēļu laikā pēc dalības pabeigšanas šo noteikumu 15.2., 15.3., 15.4., 15.5., 15.6., 15.7., 15.8. un 15.9. apakšpunktā minētajā projekta atbalstāmajā darbībā ir nodarbināti vai iesaistījušies darba meklēšanā (izdruka no BURVIS);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7.6. šo noteikumu 6.4.3. apakšpunktā minētā kopējā rādītāja izpildi apliecina finansējuma saņēmēja sagatavots un anonimizēts to mērķa grupas personu saraksts, kuras saņem atbalstu šo noteikumu 15.2., 15.3., 15.4., 15.5., 15.6., 15.7., 15.8. un 15.9. apakšpunktā minētajās atbalstāmajās darbībās un ir vecumā no 15 līdz 29 gadiem (izdruka no BURVIS)."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16.2.5.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"16.2.5. valsts nodevas kompensācijas izmaksas par valsts valodas prasmes pārbaudi mērķa grupas personām, kuras nav Latvijas pilsoņi, Latvijas nepilsoņi vai Eiropas Savienības dalībvalsts, Eiropas Ekonomikas zonas valsts vai Šveices Konfederācijas pilsoņi un kuras piedalās šo noteikumu 15.4. apakšpunktā minētajā atbalstāmajā 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16.3.3.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"16.3.3. mācību izmaksas šo noteikumu 15.3.1., 15.3.2., 15.4., 15.5. un 15.6. apakšpunktā minēto atbalstāmo darbību īstenošanai – mācību kupona izmaksas, piemērojot ministrijas izstrādāto mācību izmaksu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Investīcijas atbalstāmo darbību ietvaros radušās izmaksas var uzskatīt par attiecināmām, ja tās ir tieši saistītas ar šo noteikumu 6. punktā minēto atskaites punktu, nacionālā rādītāja, mērķrādītāju un uzraudzības rādītāja sasniegšanu, atbilst šo noteikumu 15. punktā minētajām atbalstāmajām darbībām un šo noteikumu 16., 17., 18. un 19. punktā minētajām izmaksu pozīcijām un radušās ne agrāk kā 2023. gada 1. februārī. To investīcijas atbalstāmo darbību izmaksas, kuru īstenošana pabeigta līdz 2023. gada 31. janvārim, nav attiecināmas finansēšanai no Atveseļošanas fonda."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"23.3. ministrija 15 darbdienu laikā pēc šo noteikumu 23.2. apakšpunktā minētā projekta iesnieguma saņemšanas pārbauda tā atbilstību šo noteikumu nosacījumiem un projekta veidlapā pieprasītajai informācijai, kā arī sadarbībā ar aģentūru pārliecinās, ka uz projekta iesniedzēju un sadarbības partneri nav attiecināmi Eiropas Parlamenta un Padomes 2024. gada 23. septembra Regulas (ES, Euratom) 2024/2509 par finanšu noteikumiem, ko piemēro Savienības vispārējam budžetam (pārstrādāta redakcija) (turpmāk – regula 2024/2509), 138. pantā noteiktie izslēgšanas kritēriji (turpmāk – izslēgšanas kritēriji);".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projekta īstenošanas un uzraudzības nosacījumi, tai skaitā dokumentu iesniegšanai un izskatīšanai, vizuālās identitātes prasību nodrošināšanai, atskaites punktu, nacionālā rādītāja un mērķrādītāju pamatošanai, pārbaužu veikšanai un datu ievadei vadības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26.1.1.2.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"26.1.1.2. parakstījuši apliecinājumus par interešu konflikta neesību saskaņā ar regulas 2024/2509  61. pantu un publisko iepirkumu regulējošajiem normatīvajiem aktiem un pienākumu ziņot par konstatētajiem vai iespējamajiem trūkumiem un pārkāpumiem;".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26.1.6.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"26.1.6. šo noteikumu 15.13. apakšpunktā minētos publicitātes pasākumus nodrošina saskaņā ar Eiropas Parlamenta un Padomes 2021. gada 12. februāra Regulas (ES) 2021/241 (turpmāk – regula 2021/241) 34. pantu un Eiropas Komisijas un Latvijas Republikas Atveseļošanas un noturības mehānisma finansēšanas nolīguma 10.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26.1.10.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"26.1.10. saskaņā ar Eiropas Parlamenta un Padomes 2016. gada 27. aprīļa Regulu (ES) Nr. 2016/679 par fizisku personu aizsardzību attiecībā uz personas datu apstrādi un šādu datu brīvu apriti un ar ko atceļ Direktīvu 95/46/EK (turpmāk – regula 2016/679), uzskatāms par datu pārzini attiecībā uz tādu personas datu apstrādi, kas nepieciešami, lai īstenotu projektu, kā arī lai sagatavotu un iesniegtu šo noteikumu 26.2.6. un 26.2.9.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26.1.11.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"26.1.11. nodrošina, ka normatīvajos aktos par Eiropas Savienības Atveseļošanas fonda plāna īstenošanas un uzraudzības kārtību un regulas 2021/241 22. panta 2. punkta "e" apakšpunktā minētajām institūcijām projekta īstenošanas laikā un visā šo noteikumu 26.1.12. apakšpunktā noteiktajā dokumentu glabāšanas termiņā ir pieejami visi ar projekta īstenošanu saistīto dokumentu oriģināli un grāmatvedības sistēmas dati. Dokumentu un datu pieejamību nodrošina vadības informācijas sistēmā, pie finansējuma saņēmēja vai sadarbības partnera. Ja dokumenti un dati ir pieejami tikai pie finansējuma saņēmēja vai sadarbības partnera, nodrošina to iesniegšanu institūcijai, kas atbilstoši normatīvajos aktos par Eiropas Savienības Atveseļošanas fonda plāna īstenošanas un uzraudzības kārtību noteiktajai kompetencei to pieprasa, kā arī, ja nepieciešams, nodrošina informācijas pieejamību Latvijas Republikas un Eiropas Komisijas finansēšanas nolīgumā par Atveseļošanas un noturības mehānismu minētajām iestādēm;".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26.2.1.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"26.2.1. šo noteikumu 15.1., 15.2., 15.3., 15.4., 15.5., 15.6., 15.7., 15.8., 15.9., 15.10. un 15.11. apakšpunktā minētās atbalstāmās darbības īsteno un šo noteikumu 16.2.1., 16.2.2., 16.2.3., 16.2.4., 16.3.1., 16.3.2., 16.3.3., 16.3.4., 16.3.5., 16.3.6., 16.3.7. un 16.3.9. apakšpunktā minētās izmaksas plāno atbilstoši normatīvajiem aktiem par aktīvo nodarbinātības pasākumu un preventīvo bezdarba samazināšanas pasākumu organizēšanas un finansēšanas kārtību un pasākumu īstenotāju izvēles principiem, ciktāl šie noteikumi nenosaka citādi. Šo noteikumu 16.2.5. apakšpunktā minētās izmaksas plāno atbilstoši normatīvajos aktos par valsts valodas zināšanu apjomu, valsts valodas prasmes pārbaudes kārtību un valsts nodevu par valsts valodas prasmes pārbaudi noteiktajam valsts nodevas apmēram;".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26.2.9.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"26.2.9. uzkrāj informāciju par atbalstu saņēmušajām šo noteikumu 5. punktā minētajām mērķa grupas personām, lai izpildītu regulas  2021/241 22. panta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27.3.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"27.3. ja aģentūra noraida projekta, plānoto progresa pārskatu iesniegšanas grafika vai plānoto iepirkumu plāna grozījumu priekšlikumu, tā norāda atteikuma pamatojumu un, ja nepieciešams, informāciju par veicamajiem precizējumiem un tā atkārtotas iesniegšanas kārtību un termiņiem;".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"30.1. uzskatāma par datu pārzini saskaņā ar regulu 2016/679 attiecībā uz tādu personas datu apstrādi, kas nepieciešami normatīvajos aktos par Eiropas Savienības Atveseļošanas un noturības mehānisma plāna īstenošanas un uzraudzības kārtību un šajos noteikumos noteikto funkciju izpildei;".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"30.2. uzrauga projekta īstenošanas procesā šo noteikumu 6. punktā minēto atskaites punktu, nacionālā rādītāja, mērķrādītāju, uzraudzības un kopējo rādītāju izpildi un veic uzraudzību atbilstoši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31.2.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"31.2. sagatavo un nosūta aģentūrai metodiskas norādes finansējuma saņēmējam par pārskata sagatavošanu, lai pamatotu šo noteikumu 6.1.2. apakšpunktā noteiktā atskaites punkta, 6.1.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vertAlign w:val="superscript"/>
          <w:rtl w:val="0"/>
        </w:rPr>
        <w:t xml:space="preserve"> </w:t>
      </w:r>
      <w:r w:rsidR="00000000" w:rsidRPr="00000000" w:rsidDel="00000000">
        <w:rPr>
          <w:rtl w:val="0"/>
        </w:rPr>
        <w:t xml:space="preserve">apakšpunktā noteiktā nacionālā rādītāja, 6.2. apakšpunktā noteikto mērķrādītāju un 6.3. apakšpunktā noteiktā uzraudzības rādītāja sasniegšanu;".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 Finanšu atbalstu, ko finansējuma saņēmējs dotācijas veidā piešķir saimnieciskās darbības veicējam šo noteikumu 16.3.6. un 16.3.7. apakšpunktā paredzētajām izmaksām, sniedz saskaņā ar Komisijas 2023. gada 13. decembra Regulu (ES) 2023/2831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2023. gada 15. decembris, Nr. L 2023/2831) (turpmāk – regula  2023/2831),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regula 717/2014)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regula 1408/2013)."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36.1.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w:t>
      </w:r>
      <w:r w:rsidR="00000000" w:rsidRPr="00000000" w:rsidDel="00000000">
        <w:rPr>
          <w:i w:val="1"/>
          <w:rtl w:val="0"/>
        </w:rPr>
        <w:t xml:space="preserve">de minimis</w:t>
      </w:r>
      <w:r w:rsidR="00000000" w:rsidRPr="00000000" w:rsidDel="00000000">
        <w:rPr>
          <w:rtl w:val="0"/>
        </w:rPr>
        <w:t xml:space="preserve"> atbalstu piešķir, ievērojot regulas 2023/2831 1. panta 1. punkta, regulas 717/2014 1. panta 1. punkta un regulas 1408/2013 1. panta 1. punkta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36.2.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 pirms </w:t>
      </w:r>
      <w:r w:rsidR="00000000" w:rsidRPr="00000000" w:rsidDel="00000000">
        <w:rPr>
          <w:i w:val="1"/>
          <w:rtl w:val="0"/>
        </w:rPr>
        <w:t xml:space="preserve">de minimis</w:t>
      </w:r>
      <w:r w:rsidR="00000000" w:rsidRPr="00000000" w:rsidDel="00000000">
        <w:rPr>
          <w:rtl w:val="0"/>
        </w:rPr>
        <w:t xml:space="preserve"> atbalsta piešķiršanas finansējuma saņēmējs pārbauda, vai saimnieciskās darbības veicējam: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36.2.1. plānotais </w:t>
      </w:r>
      <w:r w:rsidR="00000000" w:rsidRPr="00000000" w:rsidDel="00000000">
        <w:rPr>
          <w:i w:val="1"/>
          <w:rtl w:val="0"/>
        </w:rPr>
        <w:t xml:space="preserve">de minimis</w:t>
      </w:r>
      <w:r w:rsidR="00000000" w:rsidRPr="00000000" w:rsidDel="00000000">
        <w:rPr>
          <w:rtl w:val="0"/>
        </w:rPr>
        <w:t xml:space="preserve"> atbalsts kopā ar attiecīgajā fiskālajā gadā, kā arī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regulas 717/2014 3. panta 2.a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717/2014. Ja  atbalsts ir piešķirts saskaņā ar regulas 2023/2831, regulas 1408/2013 vai regulas 717/2014 nosacījumiem, ievēro arī regulas 717/2014 5. panta 1. un 2. punktā noteikto viena vienota uzņēmuma maksimālo atbalsta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36.2.2. plānotais </w:t>
      </w:r>
      <w:r w:rsidR="00000000" w:rsidRPr="00000000" w:rsidDel="00000000">
        <w:rPr>
          <w:i w:val="1"/>
          <w:rtl w:val="0"/>
        </w:rPr>
        <w:t xml:space="preserve">de minimis</w:t>
      </w:r>
      <w:r w:rsidR="00000000" w:rsidRPr="00000000" w:rsidDel="00000000">
        <w:rPr>
          <w:rtl w:val="0"/>
        </w:rPr>
        <w:t xml:space="preserve"> atbalsts kopā  ar iepriekšējo triju gadu periodā, skaitot no </w:t>
      </w:r>
      <w:r w:rsidR="00000000" w:rsidRPr="00000000" w:rsidDel="00000000">
        <w:rPr>
          <w:i w:val="1"/>
          <w:rtl w:val="0"/>
        </w:rPr>
        <w:t xml:space="preserve">de minimis </w:t>
      </w:r>
      <w:r w:rsidR="00000000" w:rsidRPr="00000000" w:rsidDel="00000000">
        <w:rPr>
          <w:rtl w:val="0"/>
        </w:rPr>
        <w:t xml:space="preserve">atbalsta piešķiršanas dienas, piešķirto</w:t>
      </w:r>
      <w:r w:rsidR="00000000" w:rsidRPr="00000000" w:rsidDel="00000000">
        <w:rPr>
          <w:i w:val="1"/>
          <w:rtl w:val="0"/>
        </w:rPr>
        <w:t xml:space="preserve"> de minimis</w:t>
      </w:r>
      <w:r w:rsidR="00000000" w:rsidRPr="00000000" w:rsidDel="00000000">
        <w:rPr>
          <w:rtl w:val="0"/>
        </w:rPr>
        <w:t xml:space="preserve"> atbalstu nepārsniedz regulas 1408/2013 3. panta 2. un 3.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 </w:t>
      </w:r>
      <w:r w:rsidR="00000000" w:rsidRPr="00000000" w:rsidDel="00000000">
        <w:rPr>
          <w:rtl w:val="0"/>
        </w:rPr>
        <w:t xml:space="preserve">atbalstu piešķir saskaņā ar regulu 1408/2013. Ja  atbalsts ir piešķirts saskaņā ar regulas 2023/2831,  regulas 1408/2013 vai  regulas 717/2014 nosacījumiem, ievēro arī  regulas 1408/2013 5. panta 1. un 2. punktā noteikto viena vienota uzņēmuma maksimālo atbalsta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36.2.3. plānotais </w:t>
      </w:r>
      <w:r w:rsidR="00000000" w:rsidRPr="00000000" w:rsidDel="00000000">
        <w:rPr>
          <w:i w:val="1"/>
          <w:rtl w:val="0"/>
        </w:rPr>
        <w:t xml:space="preserve">de minimis</w:t>
      </w:r>
      <w:r w:rsidR="00000000" w:rsidRPr="00000000" w:rsidDel="00000000">
        <w:rPr>
          <w:rtl w:val="0"/>
        </w:rPr>
        <w:t xml:space="preserve"> atbalsts kopā ar iepriekšējo triju gadu periodā, skaitot no </w:t>
      </w:r>
      <w:r w:rsidR="00000000" w:rsidRPr="00000000" w:rsidDel="00000000">
        <w:rPr>
          <w:i w:val="1"/>
          <w:rtl w:val="0"/>
        </w:rPr>
        <w:t xml:space="preserve">de minimis</w:t>
      </w:r>
      <w:r w:rsidR="00000000" w:rsidRPr="00000000" w:rsidDel="00000000">
        <w:rPr>
          <w:rtl w:val="0"/>
        </w:rPr>
        <w:t xml:space="preserve"> atbalsta piešķiršanas dienas, piešķirto</w:t>
      </w:r>
      <w:r w:rsidR="00000000" w:rsidRPr="00000000" w:rsidDel="00000000">
        <w:rPr>
          <w:i w:val="1"/>
          <w:rtl w:val="0"/>
        </w:rPr>
        <w:t xml:space="preserve"> de minimis </w:t>
      </w:r>
      <w:r w:rsidR="00000000" w:rsidRPr="00000000" w:rsidDel="00000000">
        <w:rPr>
          <w:rtl w:val="0"/>
        </w:rPr>
        <w:t xml:space="preserve">atbalstu nepārsniedz regulas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saskaņā ar  regulu 2023/2831. Ja  atbalsts ir piešķirts saskaņā ar regulas 2023/2831, regulas 1408/2013 vai regulas 717/2014 nosacījumiem, ievēro arī regulas 2023/2831 5. panta 2. punktā noteikto viena vienota uzņēmuma maksimālo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 izvērtējot finanšu atbalsta apmēru, jāvērtē piešķirtais </w:t>
      </w:r>
      <w:r w:rsidR="00000000" w:rsidRPr="00000000" w:rsidDel="00000000">
        <w:rPr>
          <w:i w:val="1"/>
          <w:rtl w:val="0"/>
        </w:rPr>
        <w:t xml:space="preserve">de minimis </w:t>
      </w:r>
      <w:r w:rsidR="00000000" w:rsidRPr="00000000" w:rsidDel="00000000">
        <w:rPr>
          <w:rtl w:val="0"/>
        </w:rPr>
        <w:t xml:space="preserve">atbalsts viena vienota uzņēmuma līmenī. Viens vienots uzņēmums ir tāds uzņēmums, kas atbilst regulas 2023/2831 2. panta 2. punktā, regulas 1408/2013 2. panta 2. punktā vai regulas 717/2014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 finanšu atbalstu nepiešķir, ja saimnieciskās darbības veicējam ir ierosināta tiesiskās aizsardzības procesa lieta, tiek īstenots tiesiskās aizsardzības process, ir pasludināts maksātnespējas process, tā saimnieciskā darbība ir izbeigta vai tas atbilst normatīvajos aktos noteiktajiem kritērijiem, lai tam pēc kreditoru pieprasījuma uzsāktu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Atbalsta sniedzējs (finansējuma saņēmējs) visus ar </w:t>
      </w:r>
      <w:r w:rsidR="00000000" w:rsidRPr="00000000" w:rsidDel="00000000">
        <w:rPr>
          <w:i w:val="1"/>
          <w:rtl w:val="0"/>
        </w:rPr>
        <w:t xml:space="preserve">de minimis</w:t>
      </w:r>
      <w:r w:rsidR="00000000" w:rsidRPr="00000000" w:rsidDel="00000000">
        <w:rPr>
          <w:rtl w:val="0"/>
        </w:rPr>
        <w:t xml:space="preserve"> atbalsta piešķiršanu saistītos datus glabā 10 gadus no dienas, kurā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un </w:t>
      </w:r>
      <w:r w:rsidR="00000000" w:rsidRPr="00000000" w:rsidDel="00000000">
        <w:rPr>
          <w:i w:val="1"/>
          <w:rtl w:val="0"/>
        </w:rPr>
        <w:t xml:space="preserve">de minimis</w:t>
      </w:r>
      <w:r w:rsidR="00000000" w:rsidRPr="00000000" w:rsidDel="00000000">
        <w:rPr>
          <w:rtl w:val="0"/>
        </w:rPr>
        <w:t xml:space="preserve"> atbalsta saņēmējs (saimnieciskās darbības veicējs) visus ar </w:t>
      </w:r>
      <w:r w:rsidR="00000000" w:rsidRPr="00000000" w:rsidDel="00000000">
        <w:rPr>
          <w:i w:val="1"/>
          <w:rtl w:val="0"/>
        </w:rPr>
        <w:t xml:space="preserve">de minimis</w:t>
      </w:r>
      <w:r w:rsidR="00000000" w:rsidRPr="00000000" w:rsidDel="00000000">
        <w:rPr>
          <w:rtl w:val="0"/>
        </w:rPr>
        <w:t xml:space="preserve"> atbalsta piešķiršanu saistītos datus glabā 10 gadus no </w:t>
      </w:r>
      <w:r w:rsidR="00000000" w:rsidRPr="00000000" w:rsidDel="00000000">
        <w:rPr>
          <w:i w:val="1"/>
          <w:rtl w:val="0"/>
        </w:rPr>
        <w:t xml:space="preserve">de minimis </w:t>
      </w:r>
      <w:r w:rsidR="00000000" w:rsidRPr="00000000" w:rsidDel="00000000">
        <w:rPr>
          <w:rtl w:val="0"/>
        </w:rPr>
        <w:t xml:space="preserve">atbalsta piešķiršanas dienas atbilstoši regulas 2023/2831 6. panta 3. un 7. punktam, regulas 1408/2013 6. panta 3. un 6. punktam  un regulas  717/2014 6. panta 4. un 5.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Ja saimnieciskās darbības veicējs darbojas: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regulas 2023/2831 1. panta 1. punkta "a", "b", "c" vai "d" apakšpunktā minētajās nozarēs un tam </w:t>
      </w:r>
      <w:r w:rsidR="00000000" w:rsidRPr="00000000" w:rsidDel="00000000">
        <w:rPr>
          <w:i w:val="1"/>
          <w:rtl w:val="0"/>
        </w:rPr>
        <w:t xml:space="preserve">de minimis</w:t>
      </w:r>
      <w:r w:rsidR="00000000" w:rsidRPr="00000000" w:rsidDel="00000000">
        <w:rPr>
          <w:rtl w:val="0"/>
        </w:rPr>
        <w:t xml:space="preserve"> atbalstu piešķir saskaņā ar regulu 2023/2831, saimnieciskās darbības veicējs nodrošina minēto nozaru darbību vai uzskaites nodalīšanu atbilstoši regulas 2023/2831 1. panta 2.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regulas 717/2014 1. panta 1. punktā minētajās nozarēs un tam </w:t>
      </w:r>
      <w:r w:rsidR="00000000" w:rsidRPr="00000000" w:rsidDel="00000000">
        <w:rPr>
          <w:i w:val="1"/>
          <w:rtl w:val="0"/>
        </w:rPr>
        <w:t xml:space="preserve">de minimis</w:t>
      </w:r>
      <w:r w:rsidR="00000000" w:rsidRPr="00000000" w:rsidDel="00000000">
        <w:rPr>
          <w:rtl w:val="0"/>
        </w:rPr>
        <w:t xml:space="preserve"> atbalstu piešķir saskaņā ar regulu 717/2014,  saimnieciskās darbības veicējs nodrošina minēto nozaru darbību vai uzskaites nodalīšanu atbilstoši regulas 717/2014 1. panta 2. un 3.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regulas 1408/2013 1. panta 1. punktā minētajās nozarēs un tam </w:t>
      </w:r>
      <w:r w:rsidR="00000000" w:rsidRPr="00000000" w:rsidDel="00000000">
        <w:rPr>
          <w:i w:val="1"/>
          <w:rtl w:val="0"/>
        </w:rPr>
        <w:t xml:space="preserve">de minimis</w:t>
      </w:r>
      <w:r w:rsidR="00000000" w:rsidRPr="00000000" w:rsidDel="00000000">
        <w:rPr>
          <w:rtl w:val="0"/>
        </w:rPr>
        <w:t xml:space="preserve"> atbalstu piešķir saskaņā ar regulu 1408/2013, saimnieciskās darbības veicējs nodrošina minēto nozaru darbību vai uzskaites nodalīšanu atbilstoši  regulas 1408/2013 1. panta 2. un 3. punktam, lai darbības izslēgtajās nozarēs negūtu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Lēmumu par </w:t>
      </w:r>
      <w:r w:rsidR="00000000" w:rsidRPr="00000000" w:rsidDel="00000000">
        <w:rPr>
          <w:i w:val="1"/>
          <w:rtl w:val="0"/>
        </w:rPr>
        <w:t xml:space="preserve">de minimis</w:t>
      </w:r>
      <w:r w:rsidR="00000000" w:rsidRPr="00000000" w:rsidDel="00000000">
        <w:rPr>
          <w:rtl w:val="0"/>
        </w:rPr>
        <w:t xml:space="preserve"> atbalsta piešķiršanu var pieņemt saskaņā ar regulas 2023/2831 7. panta 3. punktu un 8. pantu, regulas 717/2014 7. panta 4. punktu un 8. pantu un regulas 1408/2013 7. panta 4. punktu un 8. pantu atbilstoši šo regulu darbības termiņam."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Izteikt 41.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Ja tiek pārkāpti regulas 2023/2831, regulas 717/2014 vai regulas 1408/2013 nosacījumi, atbalsta saņēmējam ir pienākums atmaksāt finansējuma saņēmējam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"V. Noslēguma jautājums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Šo noteikumu 16.2.5. apakšpunktā minētās izmaksas ir attiecināmas, sākot ar 2025. gada 1. aprīli."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25-TA-511</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25-TA-511</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noteikumu_(grozījumu)_projekts_25-TA-511.docx</dc:title>
</cp:coreProperties>
</file>

<file path=docProps/custom.xml><?xml version="1.0" encoding="utf-8"?>
<Properties xmlns="http://schemas.openxmlformats.org/officeDocument/2006/custom-properties" xmlns:vt="http://schemas.openxmlformats.org/officeDocument/2006/docPropsVTypes"/>
</file>