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novembrī (prot. Nr. 58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30. aprīļa rīkojumā Nr. 231 "Par finansējumu Jaunā Rīgas teātra ēku Lāčplēša ielā 25, Rīgā, pārbūves, nomas maksas, papildu maksājumu, pārcelšanās un aprīkojuma iegādes izdevumu segšanai"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2020. gada 30. aprīļa rīkojumā Nr. 231 "Par finansējumu Jaunā Rīgas teātra ēku Lāčplēša ielā 25, Rīgā, pārbūves, nomas maksas, papildu maksājumu, pārcelšanās un aprīkojuma iegādes izdevumu segšanai" (Latvijas Vēstnesis, 2020, 84B. nr.; 2021, 189. nr.; 2022, 97. nr.; 2023, 137.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1. punktā skaitli "37 574 359" ar skaitli "37 760 368".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2. punktā skaitli "6 281 489" ar skaitli "6 467 498" un skaitli  "32 666 667" ar skaitli "32 852 676".</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23-TA-2890</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23-TA-2890</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rīkojuma_projekts_23-TA-2890.docx</dc:title>
</cp:coreProperties>
</file>

<file path=docProps/custom.xml><?xml version="1.0" encoding="utf-8"?>
<Properties xmlns="http://schemas.openxmlformats.org/officeDocument/2006/custom-properties" xmlns:vt="http://schemas.openxmlformats.org/officeDocument/2006/docPropsVTypes"/>
</file>