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veicējs – būvkomersants, kurš veic būvdarbus, pamatojoties uz noslēgto līgumu ar būvniecības ierosinātāju, vai būvētājs;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tehniskā apsekošana – būvju, to daļu, kā arī iebūvēto būvizstrādājumu tehniskā stāvokļa apzināšanas un izvērtēšanas darbu komplekss;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būvētājs – fiziska persona – zemes vai būves īpašnieks Būvniecības likuma izpratnē, kas speciālajos būvnoteikumos noteiktajos gadījumos savām vajadzībām pats organizē būvdarbus, piedalās tajos un uzņemas būvdarbu vadītāja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būvprojekta izstrādātājs – būvspeciālists vai būvkomersants, kas uz rakstveida vienošanās pamata izstrādā būvprojektu minimālā sastāvā vai turpina būvprojekta izstrādi atbilstoši būvatļaujā iekļautajiem projektēšanas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noteikumos noteiktā būvniecības procesa būvvalde pieņem lēmumu par būvniecības ieceri Būvniecības likumā noteiktajā kārtībā un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izstrādāt būves atjaunošanas, pārbūves vai restaurācijas būvprojektu minimālā sastāvā, būvniecības ierosinātājs nodrošina būves vai tās daļas tehnisko apsekošanu, kā arī kultūrvēsturisko inventarizāciju atbilstoši kultūras pieminekļu aizsardzības jomas normatīvo aktu nosacījumiem, ja būve ir valsts aizsargājamais kultūras piemineklis. Tehniskās apsekošanas atzinumu un kultūrvēsturiskās inventarizācijas dokumentāciju pievieno būvniecības ieceres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dokumentu izstrādes otrās un trešās grupas ēkām (izņemot viena vai divu dzīvokļu dzīvojamo ēku vai tās daļu un palīgēkas, kā arī lauku saimniecības nedzīvojamās ēkas, kas nav augstākas par diviem stāviem un kuru apbūves laukums nav lielāks par 400 m</w:t>
      </w:r>
      <w:r w:rsidR="00000000" w:rsidRPr="00000000" w:rsidDel="00000000">
        <w:rPr>
          <w:vertAlign w:val="superscript"/>
          <w:rtl w:val="0"/>
        </w:rPr>
        <w:t xml:space="preserve">2</w:t>
      </w:r>
      <w:r w:rsidR="00000000" w:rsidRPr="00000000" w:rsidDel="00000000">
        <w:rPr>
          <w:rtl w:val="0"/>
        </w:rPr>
        <w:t xml:space="preserve"> un būvtilpums par 2000 m</w:t>
      </w:r>
      <w:r w:rsidR="00000000" w:rsidRPr="00000000" w:rsidDel="00000000">
        <w:rPr>
          <w:vertAlign w:val="superscript"/>
          <w:rtl w:val="0"/>
        </w:rPr>
        <w:t xml:space="preserve">3</w:t>
      </w:r>
      <w:r w:rsidR="00000000" w:rsidRPr="00000000" w:rsidDel="00000000">
        <w:rPr>
          <w:rtl w:val="0"/>
        </w:rPr>
        <w:t xml:space="preserve">) vienkāršotas fasādes atjaunošanai veic ēkas konstrukciju tehnisko apsekošanu, ja tiek mainīta slodze uz nesošajām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bet Būvniecības likuma 6.</w:t>
      </w:r>
      <w:r w:rsidR="00000000" w:rsidRPr="00000000" w:rsidDel="00000000">
        <w:rPr>
          <w:vertAlign w:val="superscript"/>
          <w:rtl w:val="0"/>
        </w:rPr>
        <w:t xml:space="preserve">1 </w:t>
      </w:r>
      <w:r w:rsidR="00000000" w:rsidRPr="00000000" w:rsidDel="00000000">
        <w:rPr>
          <w:rtl w:val="0"/>
        </w:rPr>
        <w:t xml:space="preserve">panta pirmās daļas 4. punktā noteiktajos gadījumos būvekspertīzi organizē Būvniecības valsts kontroles birojs (turpmāk – birojs).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viņam par to ir pienākums informēt Ekonomikas ministriju un biroju,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būvprojekts atbilst vietējās pašvaldības teritorijas plānojumam, lokālplānojumam (ja tāds ir izstrādāts) un detālplānojumam (ja tas nepieciešams saskaņā ar normatīvajiem aktiem), būvprojektam ir izstrādātas visas nepieciešamās daļas, kā arī ir saņemta tehnisko noteikumu izdevēja piekrišana būvprojekta risinājumiem, apstiprinot, ka būvprojektā ievērotas visas tehnisko noteikumu prasības un, ja nepieciešams, vides pieejamības un insolācijas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būvvalde, pārbaudot projektēšanas nosacījumu izpildi, konstatē acīmredzamas neatbilstības normatīvo aktu vai tehnisko noteikumu prasībām, tā ir tiesīga lūgt speciālajos būvnoteikumos noteiktajā kārtībā precizēt būvprojektu un neizdarīt atzīmi par projektēšanas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būvdarbu veikšanai ir izdota būvatļauja vai akceptēts paskaidrojuma raksts vai apliecinājuma karte un būvniecības administratīvā procesa laikā ar grozījumiem normatīvajos aktos tiek mainīta būvniecības ieceres dokumentācijā paredzētās būves grupa, šo būvniecības administratīvo procesu pabeidz atbilstoši uzsāktajam būvniecības procesa veidam. Ja šāda uzsākta būvniecības administratīvā procesa ietvaros būvējamās būves grupa tiek mainīta no otrās grupas uz trešo, būvniecības ieceres dokumentācijas vai tās izmaiņu būvekspertīze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noteikumu_konsolidētā_versija_21-TA-1508.docx</dc:title>
</cp:coreProperties>
</file>

<file path=docProps/custom.xml><?xml version="1.0" encoding="utf-8"?>
<Properties xmlns="http://schemas.openxmlformats.org/officeDocument/2006/custom-properties" xmlns:vt="http://schemas.openxmlformats.org/officeDocument/2006/docPropsVTypes"/>
</file>