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uzņēmējdarbības riska valsts nodevu 2026.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darbinieku aizsardzību darba devēja maksātnespējas gadījumā" 6.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uzņēmējdarbības riska valsts nodevas (turpmāk – valsts nodeva) apmēru un valsts nodevas daļu, kas 2026. gadā ieskaitāma darbinieku prasījumu garantiju fondā.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pārskata mēnesī ir 0,36 </w:t>
      </w:r>
      <w:r w:rsidR="00000000" w:rsidRPr="00000000" w:rsidDel="00000000">
        <w:rPr>
          <w:i w:val="1"/>
          <w:rtl w:val="0"/>
        </w:rPr>
        <w:t xml:space="preserve">euro</w:t>
      </w:r>
      <w:r w:rsidR="00000000" w:rsidRPr="00000000" w:rsidDel="00000000">
        <w:rPr>
          <w:rtl w:val="0"/>
        </w:rPr>
        <w:t xml:space="preserve">. Darba devējs valsts nodevu aprēķina par katru darbinieku, ar kuru nodibinātas darba tiesiskās attiecības un par kuru netiek maksāts sezonas laukstrādnieku ienākuma nodoklis.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nodevu par pārskata mēnesi darba devējs samaksā līdz nākamā mēneša divdesmit trešajam datumam.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Aprēķināto valsts nodevu darba devējs norāda likumā "Par valsts sociālo apdrošināšanu" noteiktajā ziņojumā par obligātajām iemaksām no darba ņēmēja darba ienākumiem.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2026. gadā vienotajā nodokļu kontā saņemtos valsts nodevas ieņēmumus katru mēnesi līdz divdesmit piektajam datumam ieskaita Tieslietu ministrijas pamatbudžeta apakšprogrammas 06.04.00 "Darbinieku prasījumu garantiju fonds" kontā pašu ieņēmumos, nepārsniedzot likumā par valsts budžetu kārtējam gadam noteikto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līdz 2026. gada 30. decembrim plkst. 12.00 valsts nodeva vienotajā nodokļu kontā iemaksāta lielākā apmērā, nekā noteikts likumā par valsts budžetu kārtējam gadam, Valsts ieņēmumu dienests saimnieciskā gada pēdējā darbdienā pārmaksu ieskaita Tieslietu ministrijas pamatbudžeta apakšprogrammas 06.04.00 "Darbinieku prasījumu garantiju fonds" kontā pašu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dienests reizi ceturksnī līdz nākamā mēneša pēdējam datumam sniedz Maksātnespējas kontroles dienestam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devēju skaits, kuri aprēķina un maksā valsts nodevu;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ņēmēju skaits, par kuriem ir aprēķināta valsts nodeva;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aprēķinātie ieņēmumi no valsts nodevas par attiecīgo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faktiskie ieņēmumi no valsts nodevas par attiecīgo periodu.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25-TA-1990</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25-TA-1990</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noteikumu_projekts_25-TA-1990.docx</dc:title>
</cp:coreProperties>
</file>

<file path=docProps/custom.xml><?xml version="1.0" encoding="utf-8"?>
<Properties xmlns="http://schemas.openxmlformats.org/officeDocument/2006/custom-properties" xmlns:vt="http://schemas.openxmlformats.org/officeDocument/2006/docPropsVTypes"/>
</file>