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likmes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634"/>
        <w:gridCol w:w="4251"/>
        <w:gridCol w:w="4251"/>
        <w:gridCol w:w="4251"/>
        <w:tblGridChange w:id="0">
          <w:tblGrid>
            <w:gridCol w:w="514"/>
            <w:gridCol w:w="4634"/>
            <w:gridCol w:w="4251"/>
            <w:gridCol w:w="4251"/>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Komersanta kredītreitinga novērtējuma</w:t>
            </w:r>
            <w:r>
              <w:tab/>
            </w:r>
            <w:r>
              <w:br/>
            </w:r>
            <w:r w:rsidR="00000000" w:rsidRPr="00000000" w:rsidDel="00000000">
              <w:rPr>
                <w:rtl w:val="0"/>
              </w:rPr>
              <w:t xml:space="preserve">kategorija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Nodrošinājums</w:t>
            </w:r>
            <w:r>
              <w:tab/>
            </w:r>
            <w:r>
              <w:br/>
            </w:r>
            <w:r w:rsidR="00000000" w:rsidRPr="00000000" w:rsidDel="00000000">
              <w:rPr>
                <w:rtl w:val="0"/>
              </w:rPr>
              <w:t xml:space="preserve">(aizdevumu rezerves bāzes punkti)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Spēcīgs (AAA-A)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Labs (BBB)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Apmierinošs (BB)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Vājš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Slikts/finansiālās grūtības (CCC un zemāka)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Aizdevumu rezerves bāzes punktiem tiek pieskaitīti 100 bāzes punkti. Aizņēmējiem, kuriem nav kredītvēstures vai novērtējuma, kas pamatots ar bilanci (piemēram, īpašam nolūkam dibinātiem komersantiem vai jaundibinātiem komersantiem), riska likmi nosaka vismaz 400 bāzes punktu apmērā (atkarībā no pieejamā nodrošinājuma), un riska likme nevar būt zemāka par to, kuru piemēro mātes uzņēmumam.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21-TA-366</w:t>
    </w:r>
    <w:r>
      <w:br/>
    </w:r>
    <w:r w:rsidR="00000000" w:rsidRPr="00000000" w:rsidDel="00000000">
      <w:rPr>
        <w:rtl w:val="0"/>
      </w:rPr>
      <w:t xml:space="preserve">Izdrukāts 29.07.2026. 23.02 - 5.0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21-TA-366</w:t>
    </w:r>
    <w:r>
      <w:br/>
    </w:r>
    <w:r w:rsidR="00000000" w:rsidRPr="00000000" w:rsidDel="00000000">
      <w:rPr>
        <w:rtl w:val="0"/>
      </w:rPr>
      <w:t xml:space="preserve">Izdrukāts 29.07.2026. 23.02 - 5.0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noteikumu_konsolidētā_versija_p_21-TA-366.docx</dc:title>
</cp:coreProperties>
</file>

<file path=docProps/custom.xml><?xml version="1.0" encoding="utf-8"?>
<Properties xmlns="http://schemas.openxmlformats.org/officeDocument/2006/custom-properties" xmlns:vt="http://schemas.openxmlformats.org/officeDocument/2006/docPropsVTypes"/>
</file>