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5.2.1. specifiskā atbalsta mērķa "Veicināt dažāda veida atkritumu atkārtotu izmantošanu, pārstrādi un reģenerāciju" 5.2.1.2. pasākuma "Atkritumu pārstrādes veicināšana" un 13.1.3. specifiskā atbalsta mērķa "Atveseļošanas pasākumi vides un reģionālās attīstības jomā" 13.1.3.2. pasākuma "Atkritumu atkārtota izmantošana, pārstrāde un reģenerācija"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21.09.2021. noteikumu Nr. 648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5.2.1. specifiskā atbalsta mērķa "Veicināt dažāda veida atkritumu atkārtotu izmantošanu, pārstrādi un reģenerāciju" 5.2.1.2. pasākumu "Atkritumu pārstrādes veicināšana" (turpmāk – 5.2.1.2. pasākums) un 13.1.3. specifiskā atbalsta mērķa "Atveseļošanas pasākumi vides un reģionālās attīstības jomā" 13.1.3.2. pasākumu "Atkritumu atkārtota izmantošana, pārstrāde un reģenerācija" īstenošanas noteikumi" (turpmāk – 13.1.3.2. pasākums) (turpmāk abi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un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attīstīt atkritumu pārstrādi, veicinot atkritumu vairākkārtēju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pašvaldības un komersanti, kas pārstrādā atkritumus.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5.2.1.2. pasākumam plānotais kopējais attiecināmais finansējums ir vismaz 63 726 011 </w:t>
      </w:r>
      <w:r w:rsidR="00000000" w:rsidRPr="00000000" w:rsidDel="00000000">
        <w:rPr>
          <w:i w:val="1"/>
          <w:rtl w:val="0"/>
        </w:rPr>
        <w:t xml:space="preserve">euro</w:t>
      </w:r>
      <w:r w:rsidR="00000000" w:rsidRPr="00000000" w:rsidDel="00000000">
        <w:rPr>
          <w:rtl w:val="0"/>
        </w:rPr>
        <w:t xml:space="preserve">, tai skaitā Kohēzijas fonda finansējums – 46 435 671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vismaz 17 290 340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pasākumam plānotais kopējais attiecināmais finansējums ir vismaz 20 567 275 </w:t>
      </w:r>
      <w:r w:rsidR="00000000" w:rsidRPr="00000000" w:rsidDel="00000000">
        <w:rPr>
          <w:i w:val="1"/>
          <w:rtl w:val="0"/>
        </w:rPr>
        <w:t xml:space="preserve">euro</w:t>
      </w:r>
      <w:r w:rsidR="00000000" w:rsidRPr="00000000" w:rsidDel="00000000">
        <w:rPr>
          <w:rtl w:val="0"/>
        </w:rPr>
        <w:t xml:space="preserve">, tai skaitā Eiropas Komisijas 2021. gada Eiropas Reģionālās attīstības fonda finansējums – 17 482 183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vismaz 3 085 092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5.2.1.2. pasākuma finansējuma sadalījums pa atlases 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ietvaros pieejamais finansējums ir ne mazāks kā 9 626 413 </w:t>
      </w:r>
      <w:r w:rsidR="00000000" w:rsidRPr="00000000" w:rsidDel="00000000">
        <w:rPr>
          <w:i w:val="1"/>
          <w:rtl w:val="0"/>
        </w:rPr>
        <w:t xml:space="preserve">euro</w:t>
      </w:r>
      <w:r w:rsidR="00000000" w:rsidRPr="00000000" w:rsidDel="00000000">
        <w:rPr>
          <w:rtl w:val="0"/>
        </w:rPr>
        <w:t xml:space="preserve">, tai skaitā Kohēzijas fonda finansējums – 3 369 245 </w:t>
      </w:r>
      <w:r w:rsidR="00000000" w:rsidRPr="00000000" w:rsidDel="00000000">
        <w:rPr>
          <w:i w:val="1"/>
          <w:rtl w:val="0"/>
        </w:rPr>
        <w:t xml:space="preserve">euro</w:t>
      </w:r>
      <w:r w:rsidR="00000000" w:rsidRPr="00000000" w:rsidDel="00000000">
        <w:rPr>
          <w:rtl w:val="0"/>
        </w:rPr>
        <w:t xml:space="preserve"> un privātais finansējums – ne mazāks kā 6 257 168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ietvaros pieejamais finansējums ir ne mazāks kā 4 538 329 </w:t>
      </w:r>
      <w:r w:rsidR="00000000" w:rsidRPr="00000000" w:rsidDel="00000000">
        <w:rPr>
          <w:i w:val="1"/>
          <w:rtl w:val="0"/>
        </w:rPr>
        <w:t xml:space="preserve">euro</w:t>
      </w:r>
      <w:r w:rsidR="00000000" w:rsidRPr="00000000" w:rsidDel="00000000">
        <w:rPr>
          <w:rtl w:val="0"/>
        </w:rPr>
        <w:t xml:space="preserve">, tai skaitā Kohēzijas fonda finansējums – 1 588 415 </w:t>
      </w:r>
      <w:r w:rsidR="00000000" w:rsidRPr="00000000" w:rsidDel="00000000">
        <w:rPr>
          <w:i w:val="1"/>
          <w:rtl w:val="0"/>
        </w:rPr>
        <w:t xml:space="preserve">euro</w:t>
      </w:r>
      <w:r w:rsidR="00000000" w:rsidRPr="00000000" w:rsidDel="00000000">
        <w:rPr>
          <w:rtl w:val="0"/>
        </w:rPr>
        <w:t xml:space="preserve"> un privātais finansējums – ne mazāks kā 2 949 914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atlases kārtas ietvaros pieejamais finansējums ir vismaz 49 561 269 </w:t>
      </w:r>
      <w:r w:rsidR="00000000" w:rsidRPr="00000000" w:rsidDel="00000000">
        <w:rPr>
          <w:i w:val="1"/>
          <w:rtl w:val="0"/>
        </w:rPr>
        <w:t xml:space="preserve">euro</w:t>
      </w:r>
      <w:r w:rsidR="00000000" w:rsidRPr="00000000" w:rsidDel="00000000">
        <w:rPr>
          <w:rtl w:val="0"/>
        </w:rPr>
        <w:t xml:space="preserve">, tai skaitā Kohēzijas fonda finansējums – 41 478 011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8 083 258 </w:t>
      </w:r>
      <w:r w:rsidR="00000000" w:rsidRPr="00000000" w:rsidDel="00000000">
        <w:rPr>
          <w:i w:val="1"/>
          <w:rtl w:val="0"/>
        </w:rPr>
        <w:t xml:space="preserve">euro</w:t>
      </w:r>
      <w:r w:rsidR="00000000" w:rsidRPr="00000000" w:rsidDel="00000000">
        <w:rPr>
          <w:rtl w:val="0"/>
        </w:rPr>
        <w:t xml:space="preserve">, un no 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uzsaukumā pieejamais finansējums ir vismaz 34 768 711 </w:t>
      </w:r>
      <w:r w:rsidR="00000000" w:rsidRPr="00000000" w:rsidDel="00000000">
        <w:rPr>
          <w:i w:val="1"/>
          <w:rtl w:val="0"/>
        </w:rPr>
        <w:t xml:space="preserve">euro</w:t>
      </w:r>
      <w:r w:rsidR="00000000" w:rsidRPr="00000000" w:rsidDel="00000000">
        <w:rPr>
          <w:rtl w:val="0"/>
        </w:rPr>
        <w:t xml:space="preserve">, tai skaitā Kohēzijas fonda finansējums – 29 553 405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5 215 306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uzsaukumā pieejamais finansējums ir vismaz 14 792 558 </w:t>
      </w:r>
      <w:r w:rsidR="00000000" w:rsidRPr="00000000" w:rsidDel="00000000">
        <w:rPr>
          <w:i w:val="1"/>
          <w:rtl w:val="0"/>
        </w:rPr>
        <w:t xml:space="preserve">euro</w:t>
      </w:r>
      <w:r w:rsidR="00000000" w:rsidRPr="00000000" w:rsidDel="00000000">
        <w:rPr>
          <w:rtl w:val="0"/>
        </w:rPr>
        <w:t xml:space="preserve">, tai skaitā Kohēzijas fonda finansējums – 11 924 606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2 867 952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pārstrādes iekārtām, kas izmanto aerobo pārstrādes metodi, – vismaz 1 298 137 </w:t>
      </w:r>
      <w:r w:rsidR="00000000" w:rsidRPr="00000000" w:rsidDel="00000000">
        <w:rPr>
          <w:i w:val="1"/>
          <w:rtl w:val="0"/>
        </w:rPr>
        <w:t xml:space="preserve">euro</w:t>
      </w:r>
      <w:r w:rsidR="00000000" w:rsidRPr="00000000" w:rsidDel="00000000">
        <w:rPr>
          <w:rtl w:val="0"/>
        </w:rPr>
        <w:t xml:space="preserve">, tai skaitā Kohēzijas fonda finansējums – 454 348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843 789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noārdāmo atkritumu pārstrādes iekārtām, kas izmanto anaerobo pārstrādes metodi, – vismaz 13 494 421 </w:t>
      </w:r>
      <w:r w:rsidR="00000000" w:rsidRPr="00000000" w:rsidDel="00000000">
        <w:rPr>
          <w:i w:val="1"/>
          <w:rtl w:val="0"/>
        </w:rPr>
        <w:t xml:space="preserve">euro</w:t>
      </w:r>
      <w:r w:rsidR="00000000" w:rsidRPr="00000000" w:rsidDel="00000000">
        <w:rPr>
          <w:rtl w:val="0"/>
        </w:rPr>
        <w:t xml:space="preserve">, tai skaitā Kohēzijas fonda finansējums – 11 470 258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2 024 163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307 redakcijā, kas grozīta ar MK 26.05.2020. noteikumiem Nr. 315; MK 02.09.2020. noteikumiem Nr. 555;</w:t>
      </w:r>
      <w:r w:rsidR="00000000" w:rsidRPr="00000000" w:rsidDel="00000000">
        <w:rPr>
          <w:rStyle w:val="paragraph"/>
          <w:color w:val="black"/>
          <w:i w:val="1"/>
          <w:rtl w:val="0"/>
        </w:rPr>
        <w:t xml:space="preserve"> MK 21.09.2021. noteikumiem Nr. 648)</w:t>
      </w:r>
      <w:r w:rsidR="00000000" w:rsidRPr="00000000" w:rsidDel="00000000">
        <w:rPr>
          <w:rStyle w:val="paragraph"/>
          <w:sz w:val="24"/>
          <w:i w:val="1"/>
          <w:rtl w:val="0"/>
        </w:rPr>
        <w:t xml:space="preserve"/>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5.2.1.2. pasākuma trešās atlases kārtas otrā uzsaukuma ietvaros vienai bioloģiski noārdāmo atkritumu pārstrādes iekārtai, kas izmanto anaerobo pārstrādes metodi, pieejamais Kohēzijas fonda finansējums nepārsniedz 6 000 000 </w:t>
      </w:r>
      <w:r w:rsidR="00000000" w:rsidRPr="00000000" w:rsidDel="00000000">
        <w:rPr>
          <w:i w:val="1"/>
          <w:rtl w:val="0"/>
        </w:rPr>
        <w:t xml:space="preserve">euro</w:t>
      </w:r>
      <w:r w:rsidR="00000000" w:rsidRPr="00000000" w:rsidDel="00000000">
        <w:rPr>
          <w:rtl w:val="0"/>
        </w:rPr>
        <w:t xml:space="preserve">, bet vienai bioloģiski noārdāmo atkritumu pārstrādes iekārtai, kas izmanto aerobo pārstrādes metodi, pieejamais Kohēzijas fonda finansējums nepārsniedz 125 000 </w:t>
      </w:r>
      <w:r w:rsidR="00000000" w:rsidRPr="00000000" w:rsidDel="00000000">
        <w:rPr>
          <w:i w:val="1"/>
          <w:rtl w:val="0"/>
        </w:rPr>
        <w:t xml:space="preserve">euro</w:t>
      </w:r>
      <w:r w:rsidR="00000000" w:rsidRPr="00000000" w:rsidDel="00000000">
        <w:rPr>
          <w:rtl w:val="0"/>
        </w:rPr>
        <w:t xml:space="preserve">. 13.1.3.2. pasākuma ietvaros vienai bioloģiski noārdāmo atkritumu pārstrādes iekārtai, kas izmanto anaerobo pārstrādes metodi, maksimālais pieejamais Eiropas Reģionālās attīstības fonda finansējums noteikts šo noteikumu 1.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21.09.2021. noteikumiem Nr. 648)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26.05.2020. noteikumiem Nr. 315)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26.05.2020. noteikumiem Nr. 315)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iznākuma rādītājs – līdz 2023. gada 31. decembrim sasniedzamais atkritumu pārstrādes jaudas pieaugums atbalstītajos projektos 5.2.1.2. pasākuma ietvaros ir 172 000 t/gadā un 13.1.3.2. pasākuma ietvaros ir 51 000 t/gadā;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5.2.1.2. pasākuma rezultāta rādītājs – līdz 2023. gada 31. decembrim pārstrādātais un reģenerētais atkritumu daudzums attiecībā pret attiecīgajā gadā radīto atkritumu daudzumu ir 59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13.1.3.2. pasākuma rezultāta rādītājs, kas sasniedzams par Eiropas Komisijas 2021. gada Eiropas Reģionālās attīstības fonda finansējumu, – līdz 2023. gada 31. decembrim poligonu skaits, kur izveidotas jaunas bioloģiski noārdāmo atkritumu anaerobās pārstrādes iekārtas, pieaugs līdz 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5.2.1.2. pasākuma finanšu rādītājs – līdz 2018. gada 31. decembrim pasākuma ietvaros sertificēti vismaz 4 863 794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horizontālā principa "Ilgstpējīga attīstība" rādītājs un tā sasniedzamā vērtība – atbilstoši šo noteikumu 8.1.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5.2.1.2. pasākuma īstenošanas veids ir atklāta projektu iesniegumu atlase. 13.1.3.2. pasākuma īstenošanas veids ir ierobežota projektu iesniegumu atlase. 13.1.3.2. pasākuma projekta iesniedzējs plāno projekta darbības, Eiropas Reģionālās attīstības fonda finansējumu un sasniedzamos iznākuma rādītājus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īstenošanu nodrošina Vides aizsardzības un reģionālās attīstības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Attiecināmais Kohēzijas fonda finansējuma apmērs nepārsniedz 35 procentus no projektam pieejamā kopējā attiecināmā finansējuma. 5.2.1.2. pasākuma trešajā atlases kārtā Kohēzijas fonda un 13.1.3.2. pasākuma Eiropas Reģionālās attīstības fonda finansējuma apmērs nepārsniedz 85 procentus no projektam pieejamā kopējā attiecināmā finansējuma,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nosacījumi projekta iesnieguma vērtēšanā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5.2.1.2. pasākuma ietvaros projekta iesniedzējs var būt pašvaldība vai pašvaldības iestāde, ja tā plāno veidot bioloģiski noārdāmo atkritumu kompostēšanas laukumus, kā arī kapitālsabiedrība. Projekta iesniedzēja darbība atbilstoši Saimniecisko darbību statistiskās klasifikācijas Eiropas Kopienā 2. redakcijai atbilst E sadaļas 38. vai 39. nodaļai, ja projekta iesniedzējs ir kapitālsabiedrība, vai arī O sadaļas 84.11 klasei, ja projekta iesniedzējs ir pašvaldība vai pašvaldības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5.2.1.2. pasākuma trešajā atlases kārtā papildus šo noteikumu 12. punktā minētajiem projektu iesniedzējiem un 13.1.3.2. pasākumā projekta iesniedzējs var būt sadzīves atkritumu apglabāšanas sabiedriskā pakalpojuma sniedzējs, kurš atbilst visiem šiem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2016. gada 30. augusta attiecībā uz to nav pieņemts lēmums par Eiropas Savienības fondu finansējuma piešķiršanu sadzīves atkritumu pārstrādes vai reģenerācijas infrastruktūras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sadzīves atkritumu apsaimniekošanas poligonā pieņemtais sadzīves atkritumu apjoms gadā ir vismaz 20 000 tonnu;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apkalpotais iedzīvotāju skaits uz 2019. gada 1. janvāri pārsniedz 120 000;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saņēmis atļauju A kategorijas piesārņojošo darbību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 kas grozīta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13.1.3.2. pasākuma ietvaros paredz tādu bioloģiski noārdāmo atkritumu pārstrādes iekārtu izveidi, kas izmanto anaerobo pārstrādes metodi, atsevišķā projektu iesniegumu atlasē, ievērojot 5.2.1.2. pasākumam piemērojamos atlases nosacījumus. 5.2.1.2. pasākuma ietvaros rīko trīs atlases kārtas: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atlases kārta – sadzīves atkritumu pārstrādes iekārtu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atlases kārta – citu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neminēto atkritumu veidu pārstrādes iekārtu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atlases kārta – bioloģiski noārdāmo atkritumu pārstrādes iekārtu izveide.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nevar pretendēt uz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tērauda, sintētisko šķiedru, zivsaimniecības, akvakultūras, lauksaimniecības un transporta nozarē, uz kurām attiecas īpaši noteikumi, kā arī enerģētikas nozarē, lidostu jomā un darbībām ar platjoslas tīkliem, tai skaitā atbilstoši šo noteikumu 2.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slēdzis tādu pašu vai līdzīgu darbību Eiropas Ekonomikas zonā divu gadu laikā pirms projekta iesnieguma iesniegšanas dienas sadarbības iestādē vai dienā, kad tas iesniedz projekta iesniegumu sadarbības iestādē, vai plāno slēgt šādu darbību divu gadu laikposmā pēc subsidējamo ieguldījumu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projektā paredzēta tādu bioloģiski noārdāmo atkritumu pārstrāde, kas savākti pašvaldības organizētā sadzīves atkritumu apsaimniekošanas sistēmā, komersants, kas nav sadzīves atkritumu apglabāšanas sabiedriskā pakalpojuma sniedzējs, atbilst vismaz vienam no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noslēgts līgums ar pašvaldību par sadzīves atkritumu apsaimniekošanas pakalpojuma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noslēgts līgums ar atkritumu apsaimniekotāju, kurš ir noslēdzis līgumu ar pašvaldību saskaņā ar normatīvajiem aktiem par atkritumu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tam ar katru sadzīves atkritumu apsaimniekošanas reģiona attiecīgo pašvaldību ir noslēgts pakalpojumu līgums par sadzīves atkritumu apglabāšanas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sadzīves atkritumu apglabāšanu konkrētajā sadzīves atkritumu apglabāšanas poligonā;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sadzīves atkritumu apglabāšanas sabiedriskā pakalpojuma sniedzējam uzturēt un atjaunot nepieciešamo tehnisko aprīkojumu, lai nodrošinātu šo noteikumu 15.</w:t>
      </w:r>
      <w:r w:rsidR="00000000" w:rsidRPr="00000000" w:rsidDel="00000000">
        <w:rPr>
          <w:vertAlign w:val="superscript"/>
          <w:rtl w:val="0"/>
        </w:rPr>
        <w:t xml:space="preserve">1 </w:t>
      </w:r>
      <w:r w:rsidR="00000000" w:rsidRPr="00000000" w:rsidDel="00000000">
        <w:rPr>
          <w:rtl w:val="0"/>
        </w:rPr>
        <w:t xml:space="preserve">1. apakšpunktā minēto pakalpojumu izpildi atbilstoši pakalpojumam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mazāks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sadzīves atkritumu apglabāšanas sabiedriskā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sadzīves atkritumu apglabāšanas sabiedriskā pakalpojuma sniedzējam piešķirtās ekskluzīvās vai īpašās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sadzīves atkritumu apglabāšanas sabiedriskā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04.07.2017. noteikumu Nr. 394 redakcijā, kas grozīta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iesniedzējam ir īpašuma tiesības, ilgtermiņa nomas tiesības vai apbūves tiesība uz nekustamo īpašumu, tai skaitā uz zemi, kurā veic investīcijas. Īpašuma tiesības apliecina ieraksts zemesgrāmatā par projekta iesniedzēja īpašuma tiesībām, bet ilgtermiņa nomas tiesības un apbūves tiesību – zemesgrāmatā reģistrētas projekta iesniedzēja ilgtermiņa nomas tiesības vai apbūves tiesība uz nekustamo īpašumu visu projekta īstenošanas laiku un vismaz piecus gadus pēc projekta īstenošanas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iesniedzējs projekta iesnieguma iesniegšanas dienā nevar apliecināt īpašuma tiesības, ilgtermiņa nomas tiesības vai apbūves tiesību uz nekustamo īpašumu, kurā tiek izveidota atkritumu pārstrādes iekārta, tās jāapliecina līdz pirmā maksājuma pieprasījuma iesniegšanas dienai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nevar būt tāds saimnieciskās darbības veicējs, uz kuru ir attiecināma vismaz viena no šādām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uz projekta iesnieguma iesniegšanas dienu uzkrāto zaudējumu dēļ ir zaudējusi vairāk nekā pusi no parakstītā kapitāla (uzkrātos zaudējumus atskaitot no rezervēm un visām pārējām pozīcijām, kuras pieņemts uzskatīt par daļu no komersanta pašu kapitāla, rodas negatīvs rezultāts, kas pārsniedz pusi no parakstītā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kurā kādam no dalībniekiem ir neierobežota atbildība par kapitālsabiedrības parādsaistībām, uz projekta iesnieguma iesniegšanas dienu uzkrāto zaudējumu dēļ ir zaudējusi vairāk nekā pusi no grāmatvedības uzskaitē uzrādītā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ir saņēmusi glābšanas atbalstu un glābšanas atbalsta ietvaros saņemto aizdevumu nav atmaksājusi vai nav atsaukusi garantiju, vai ir saņēmusi pārstrukturēšanas atbalstu un uz to joprojām attiecas pārstrukturēšanas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kapitālsabiedrībai, kas ir lielais komersants, pēdējos divus gadus parādsaistību un pašu kapitāla bilances vērtību attiecība ir pārsniegusi 7,5, kā arī kapitālsabiedrības procentu seguma attiecība, kas rēķināta pēc komersanta ieņēmumiem pirms procentu, nodokļu, nolietojuma un amortizācijas atskaitījumiem, ir bijusi mazāka par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kapitālsabiedrībai ar tiesas spriedumu pasludināts maksātnespējas process, ierosināta tiesiskās aizsardzības procesa lieta vai ar tiesas spriedumu tiek īstenots tiesiskās aizsardzības process, tās saimnieciskā darbība ir izbeigta vai tā atbilst tiesību aktos maksātnespējas jomā noteiktajiem kritērijiem, lai tai pēc kreditoru pieprasījuma piemērotu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projekta iesniedzēju attiecas neizpildīts līdzekļu atgūšanas rīkojums saskaņā ar iepriekšēju Eiropas Komisijas lēmumu, ar ko atbalsts atzīts par nelikumīgu un nesaderīgu ar iekšējo tirgu.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13.1.3.2. pasākuma ietvaros netiek izmantots viss atlasei pieejamais Eiropas Reģionālās attīstības fonda finansējums, atlikušo finansējumu var novirzīt jaunu projektu finansēšanai 13.1.3. specifiskā atbalsta mērķa "Atveseļošanas pasākumi vides un reģionālās attīstības jomā"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saskaņā ar projekta iesniegumu atlases nolikuma prasībām un pievieno tam izmaksu un ieguvumu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trešās atlases kārtas ietvaros par katru šo noteikumu </w:t>
      </w:r>
      <w:r w:rsidR="00000000" w:rsidRPr="00000000" w:rsidDel="00000000">
        <w:rPr>
          <w:rtl w:val="0"/>
        </w:rPr>
        <w:t xml:space="preserve">5.3.2.1.</w:t>
      </w:r>
      <w:r w:rsidR="00000000" w:rsidRPr="00000000" w:rsidDel="00000000">
        <w:rPr>
          <w:rtl w:val="0"/>
        </w:rPr>
        <w:t xml:space="preserve"> un </w:t>
      </w:r>
      <w:r w:rsidR="00000000" w:rsidRPr="00000000" w:rsidDel="00000000">
        <w:rPr>
          <w:rtl w:val="0"/>
        </w:rPr>
        <w:t xml:space="preserve">5.3.2.2.</w:t>
      </w:r>
      <w:r w:rsidR="00000000" w:rsidRPr="00000000" w:rsidDel="00000000">
        <w:rPr>
          <w:rtl w:val="0"/>
        </w:rPr>
        <w:t xml:space="preserve"> apakšpunktā minēto jomu drīkst iesniegt vienu atsevišķu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Trešās atlases kārtas ietvaros projektu iesniegumus par šo noteikumu </w:t>
      </w:r>
      <w:r w:rsidR="00000000" w:rsidRPr="00000000" w:rsidDel="00000000">
        <w:rPr>
          <w:rtl w:val="0"/>
        </w:rPr>
        <w:t xml:space="preserve">5.3.2.1.</w:t>
      </w:r>
      <w:r w:rsidR="00000000" w:rsidRPr="00000000" w:rsidDel="00000000">
        <w:rPr>
          <w:rtl w:val="0"/>
        </w:rPr>
        <w:t xml:space="preserve"> un </w:t>
      </w:r>
      <w:r w:rsidR="00000000" w:rsidRPr="00000000" w:rsidDel="00000000">
        <w:rPr>
          <w:rtl w:val="0"/>
        </w:rPr>
        <w:t xml:space="preserve">5.3.2.2.</w:t>
      </w:r>
      <w:r w:rsidR="00000000" w:rsidRPr="00000000" w:rsidDel="00000000">
        <w:rPr>
          <w:rtl w:val="0"/>
        </w:rPr>
        <w:t xml:space="preserve"> apakšpunktā minētajām jomām sadarbības iestāde vērtē un lēmumus par projektu iesniegumu apstiprināšanu, apstiprināšanu ar nosacījumu vai noraidīšanu pieņem atsevišķi par katru attiecīgajā apakšpunktā minēto 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 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Pasākumā tiek atbalstīta atkritumu pārstrādes iekārtu izveide un esošu pārstrādes iekārtu jaudu palielināšana saimnieciskās darbības veicēju produkcijas dažādošanai ar atkritumu pārstrādes produktiem, kas līdz šim nav ražoti, vai būtiskām pārmaiņām vispārējā ražošanas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21. punkta nosacījumiem atbilst arī tehnoloģisko procesu izmaiņas, kas paredz esošo atkritumu pārstrādes tehnoloģisko iekārtu jaudas palielināšanu, ja tas nepieciešams sadzīves atkritumu apglabāšanas sabiedriskā pakalpojuma sniegšanai, palielinot pārstrādāto un samazinot apglabāšanai paredzēto bioloģiski noārdāmo atkritumu apjomu salīdzinājumā ar esošo apjomu,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atkritumu pārstrādi tiek uzskatītas tādas darbības, kurās atkritumu pārstrādes process ilgst ne vairāk kā trīs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sākotnējos ieguldījumus veic tādos materiālajos aktīvos kā ražošanas telpas, darbmašīnas, transportlīdzekļi, iekārtas un aprīkojums, kas ir ieguldījumi pamatlīdzekļos ar nosacījumu,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aktīvi ir jauni;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iekļauj finansējuma saņēmēja aktīvos kā amortizējamos ilgtermiņa ieguldījumus un vismaz piecus gadus pēc pēdējā saņemtā maksājuma par attiecīgo projektu tie paliek finansējuma saņēmēja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 pēc projekta īstenošanas vismaz piecus gadus paliek Latvijas Republikas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atbalsts netiek piešķirts: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palielina poligonos noglabājamo atkritumu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izveidei, kas nav iekļautas pārstrādes iekārtas kompleksā un kuru darbības rezultātā atkritumi netiek pārstrādāti;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saimnieciskās darbības rezultātā radīto atkritumu pārstrādei;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reģenerācijai, kas nav pārstrāde, un tādām atkritumu pārstrādes darbībām, kurās pārstrādes process ilgst vairāk nekā trīs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pārstrādāšanai materiālos, kas izmantojami par degvielu vai kurināmo;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esošu pārstrādes iekārtu darbības uzlabošanai vai nomaiņai, ja tas nav saistīts ar pārstrādes iekārtas jaudas palielināšanu;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iekārtu izveidei, kurā vairāk nekā puse no pārstrādājamo atkritumu daudzuma ir notekūdeņu attīrīšanas iekārtu dūņas;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nekustamā īpašuma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pārstrādes iekārtu izveidei, kurās Latvijas Republikā radīto pārstrādājamo atkritumu apjoms ir mazāks par 20 procentiem.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ietvaros plāno tiešās attiecināmās izmaksas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attiecināms ir projekta attiecināmo izmaksu pievienotās vērtības nodoklis, ja projekta iesniedzējs to nevar atgūt atbilstoši normatīvajiem aktiem nodokļu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izstrādes izmaksas, būvuzraudzības un autoruzraudzības izmaksas, kas veido sākotnējo ieguldījumu vērtību un kas saistītas ar projekta ietvaros veiktajām atbalstāmajām darbībām, nepārsniedzot 10 procentus no būvdarbu līguma summas vai būvniecības līguma būvdarbu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mērķu sasniegšanai paredzēto tehnoloģisko iekārtu iegādes, uzstādīšanas un ieregulēšanas izmaksas, ja uzstādīšanas un ieregulēšanas izmaksas veido tehnoloģisko iekārtu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iegādes izmaksas, nepārsniedzot 10 procentus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pārstrādes iekārtas izmaksu daļa proporcionāli iekārtā pārstrādāto Latvijas Republikā radīto atkritumu daudzumam, ņemot vērā pārstrādes iekārtā pārstrādājamo Latvijas Republikā radīto un importēto atkritumu proporciju, kas norādīta projekta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atbilstoši normatīvajiem aktiem par kārtību, kādā Eiropas Savienības struktūrfondu un Kohēzijas fonda ieviešanā 2014.–2020. gada plānošanas periodā nodrošināma komunikācijas un vizuālās identitātes prasību ievērošana,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 MK 02.09.2020.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5.2.1.2. pasākuma ietvaros izmaksas ir attiecināmas no projekta iesnieguma iesniegšanas dienas sadarbības iestādē. Ja 5.2.1.2. pasākuma ietvaros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izmaksas ir attiecināmas no 2017. gada 1.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ietvaros izmaksas ir attiecināmas no 2020. gada 1.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neattiecināmas ir šādas izmaksas, kuras sedz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27.</w:t>
      </w:r>
      <w:r w:rsidR="00000000" w:rsidRPr="00000000" w:rsidDel="00000000">
        <w:rPr>
          <w:rtl w:val="0"/>
        </w:rPr>
        <w:t xml:space="preserve"> punktā nav noteiktas kā attiecināmas vai pārsniedz izmaksu ierobežojumu;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uz darba līguma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projekta izmaksas, ja netiek ievēroti šo noteikumu </w:t>
      </w:r>
      <w:r w:rsidR="00000000" w:rsidRPr="00000000" w:rsidDel="00000000">
        <w:rPr>
          <w:rtl w:val="0"/>
        </w:rPr>
        <w:t xml:space="preserve">41.</w:t>
      </w:r>
      <w:r w:rsidR="00000000" w:rsidRPr="00000000" w:rsidDel="00000000">
        <w:rPr>
          <w:rtl w:val="0"/>
        </w:rPr>
        <w:t xml:space="preserve"> punktā minētie nosacījumi vai ja tās radušās pirms projekta iesnieguma iesniegšanas sadarbības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pārstrādes iekārtas izmaksu daļa proporcionāli iekārtā pārstrādāto importēto atkritumu daudzumam, ņemot vērā pārstrādes iekārtā pārstrādājamo Latvijas Republikā radīto un importēto atkritumu proporciju, kas norādīta projekta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iekārtu iegāde, kas atkritumu pārstrādes procesā radīto gāzi pārveido siltumenerģijā un elektroenerģijā.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Neparedzētie izdevumi ir izdevumi, kas neparedzamu apstākļu dēļ ir kļuvuši nepieciešami, lai varētu izpildīt vienošanos vai līgumu par projekta īstenošanu. Tie var tikt izmantoti tikai ar projekta īstenošanu saistītu attiecināmo izmaksu segšanai, nepārsniedzot piecus procentus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pasākumus, ir atbalstāma vides nosacījumu integrācija preču un pakalpojumu iepirkumos (zaļais publiskais iepirkums). Iepirkumu procedūras tiek veiktas saskaņā ar Publisko iepirkumu likumu, īstenojot atklātu, pārredzamu, nediskriminējošu un konkurenci nodrošinošu procedūru šo noteikumu 21. un 21.</w:t>
      </w:r>
      <w:r w:rsidR="00000000" w:rsidRPr="00000000" w:rsidDel="00000000">
        <w:rPr>
          <w:vertAlign w:val="superscript"/>
          <w:rtl w:val="0"/>
        </w:rPr>
        <w:t xml:space="preserve">1</w:t>
      </w:r>
      <w:r w:rsidR="00000000" w:rsidRPr="00000000" w:rsidDel="00000000">
        <w:rPr>
          <w:rtl w:val="0"/>
        </w:rPr>
        <w:t xml:space="preserve"> 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aktuālu informāciju par projekta īstenošanu savā tīmekļvietnē (ja tāda izveidota) ne retāk kā reizi sešos mēnešos;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tā līdzfinansējums nav mazāks par 65 procentiem no projekta kopējām attiecināmajām izmaksām, ja projekta iesniedzējs nav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Līdzfinansējumu nodrošina no tādiem finanšu resursiem, par kuriem nav saņemts nekāds publisks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publiskais un privātais līdzfinansējums nav mazāks par 15 procentiem no projekta kopējām attiecināmajām izmaksām, ja projekta iesniedzējs trešajā atlases kārtā ir sadzīves atkritumu apglabāšanas sabiedriskā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rezultātu ilgtspēju un uzturēšanu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datu uzkrāšanu par iznākuma rādītāja vērtības sasniegšanu katrā teritoriālajā vienībā (republikas pilsēta vai novads), kurā tiek veikta atkritumu pārstrāde;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trīs gadus pēc noslēguma maksājuma veikšanas sniedz sadarbības iestādei informāciju par enerģijas patēriņu pirms un pēc projekta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projekta ietekmi uz horizontālā principa "Ilgtspējīga attīstība" rādītāju – jaunizveidotās darba vietas, kas veicina ilgtspējīgu vides saglabāšanu vai atjaunošanu ("zaļās" darba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 MK 21.09.2021. noteikumiem Nr. 648)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projektus īsteno saskaņā ar līgumu vai vienošanos par attiecīgā projekta īstenošanu,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pamatojoties uz finansējuma saņēmēja rakstisku avansa pieprasījumu atbilstoši normatīvajam aktam par valsts budžeta līdzekļu plānošanu Eiropas Savienības struktūrfondu un Kohēzijas fonda projektu īstenošanai un maksājuma veikšanu 2014.–2020. gada plānošanas periodā, nodrošina finansējuma saņēmējam avansa maksājumus, nepārsniedzot 35 procentus no projektam piešķirtā Kohēzijas fonda finansējuma un 40 procentus no projektam piešķirtā Eiropas Reģionālās attīstības fonda finansējuma. Avansu var izmaksāt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projektā faktiski apgūtais finansējuma apjoms pēc noslēguma maksājuma pieprasījuma ir mazāks nekā sākotnēji iesniegtajā projekta iesniegumā, finansējuma saņēmējs nodrošina, ka faktiski sasniegtie rādītāji nav mazāki par sākotnēji projekta iesniegumā plānotajiem.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nodrošina, ka ne vēlāk kā piektajā gadā pēc projekta īstenošanas pabeigšanas projekta ietvaros izveidotajā atkritumu pārstrādes iekārtā (tai skaitā bioloģiski noārdāmo atkritumu kompostēšanas laukumā) tiek pārstrādāti atkritumi vismaz projekta iesniegumā plānotajā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ietvaros izveidotajā pārstrādes iekārtā tiek pārstrādāti gan Latvijas Republikā radīti, gan importēti atkritumi, projekta iesniedzējs nodrošina, ka pirmos četrus gadus pēc projekta īstenošanas pabeigšanas iekārtā pārstrādātais Latvijas Republikā radīto atkritumu daudzums vidēji gadā atbilst projekta iesniegumā norādītajam Latvijas Republikā radīto atkritumu apjomam gadā. Pārstrādes iekārtā pārstrādātajam Latvijas Republikā radīto atkritumu daudzumam jābūt vismaz 20 procentiem no kopējā iekārtā pārstrādājamo atkritumu daudzuma.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pasākuma ietvaros tiek sniegts subsīdijas (granta)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 ietvaros tiek sniegts saskaņā ar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var sniegt, ja projekta iesniedzējs projekta iesniegumā pamato projekta ietvaros plānotā atbalsta stimulējošo ietekmi, sadarbības iestādē iesniedzot rakstisku projekta iesniegumu pirms projekta īstenošanas uzsākšanas. Būvdarbu, pakalpojumu vai piegāžu līgumu slēdz un ar ieguldījumiem saistītus būvdarbus, pakalpojumu sniegšanu un piegādes uzsāk pēc projekta iesnieguma iesniegšanas sadarbības 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Piešķirot atbalstu sākotnējiem ieguldījumiem būtiskām pārmaiņām ražošanas procesā, attaisnotajām izmaksām ir jābūt lielākām nekā ar modernizējamo darbību saistīto aktīvu amortizācijai iepriekšējo triju finanšu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Piešķirot atbalstu sākotnējiem ieguldījumiem esoša uzņēmuma produkcijas dažādošanai, attaisnotajām izmaksām vismaz par 200 procentiem jāpārsniedz atkārtoti izmantoto aktīvu uzskaites vērtība, kas reģistrēta iepriekšējā finanšu gadā pirms darbu sākšanas.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Atbalsts šo noteikumu ietvaros vienam finansējuma saņēmējam nepārsniedz reģionālā atbalsta paziņošanas robežlielumu – 26,25 miljonus </w:t>
      </w:r>
      <w:r w:rsidR="00000000" w:rsidRPr="00000000" w:rsidDel="00000000">
        <w:rPr>
          <w:i w:val="1"/>
          <w:rtl w:val="0"/>
        </w:rPr>
        <w:t xml:space="preserve">eiro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Maksimāli pieļaujamā valsts atbalsta finansējuma intensitāte ir 35 procenti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summa nedrīkst pārsniegt starpību starp attiecināmajām izmaksām un pamatdarbības peļņu no ieguldījuma, ievērojot, ka projekta ekonomiskā ienesīguma norma ir lielāka par sociālo diskonta likmi un projekta ekonomiskā neto pašreizējā vērtība ir lielāka par nulli. Projekta pārskata periodu (projekta dzīves ciklu) nosaka atbilstoši Komisijas 2014. gada 3. marta Regulas Nr.  </w:t>
      </w:r>
      <w:r w:rsidR="00000000" w:rsidRPr="00000000" w:rsidDel="00000000">
        <w:rPr>
          <w:rtl w:val="0"/>
        </w:rPr>
        <w:t xml:space="preserve">480/2014</w:t>
      </w:r>
      <w:r w:rsidR="00000000" w:rsidRPr="00000000" w:rsidDel="00000000">
        <w:rPr>
          <w:rtl w:val="0"/>
        </w:rPr>
        <w:t xml:space="preserve">, ar kuru papildina Eiropas Parlamenta un Padomes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finansējuma saņēmējam atbalstu piešķir sākotnējiem ieguldījumiem, ko uzskata par daļu no viena vienota ieguldījumu projekta, atbalsts attiecināmajām izmaksām, kas pārsniedz 50 miljonus </w:t>
      </w:r>
      <w:r w:rsidR="00000000" w:rsidRPr="00000000" w:rsidDel="00000000">
        <w:rPr>
          <w:i w:val="1"/>
          <w:rtl w:val="0"/>
        </w:rPr>
        <w:t xml:space="preserve">euro</w:t>
      </w:r>
      <w:r w:rsidR="00000000" w:rsidRPr="00000000" w:rsidDel="00000000">
        <w:rPr>
          <w:rtl w:val="0"/>
        </w:rPr>
        <w:t xml:space="preserve">, tiek samazināts.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kas piešķirts šo noteikumu ietvaros, nedrīkst kumulēt ar valsts atbalstu citu atbalsta programmu vai individuālā atbalsta projektu ietvaros,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un sadarbības iestāde nodrošina, ka informācija par šo noteikumu ietvaros piešķirto atbalstu, attiecināmajām izmaksām un atbalsta maksimālo intensitāti tiek uzglabāta un ir pieejama 10 gadus pēc tam, kad pieņemts pēdējais lēmums par šo noteikumu ietvaros piešķirto atbalstu. Ja atbalstu sniedz saskaņā ar Komisijas lēmumu Nr.  </w:t>
      </w:r>
      <w:r w:rsidR="00000000" w:rsidRPr="00000000" w:rsidDel="00000000">
        <w:rPr>
          <w:rtl w:val="0"/>
        </w:rPr>
        <w:t xml:space="preserve">2012/21/ES</w:t>
      </w:r>
      <w:r w:rsidR="00000000" w:rsidRPr="00000000" w:rsidDel="00000000">
        <w:rPr>
          <w:rtl w:val="0"/>
        </w:rPr>
        <w:t xml:space="preserve">, vispārējas tautsaimnieciskas nozīmes pakalpojuma pilnvarojuma uzlicējam un atbalsta saņēmējam ir pienākums dokumentāciju glabāt 10 gadus no pilnvarojuma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atbalsta piešķiršanu šo noteikumu 12. punktā minētajiem projektu iesniedzējiem saskaņā ar šiem noteikumiem var pieņemt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atbalsta piešķiršanas brīdis ir diena, kad sadarbības iestāde pieņem lēmumu par projekta iesnieguma apstiprināšanu vai izdod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nodrošina pārredzamības prasības izpildi atbilstoši normatīvajiem aktiem par kārtību, kādā publicē informāciju par sniegto komercdarbības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nākamā kalendāra mēneša pirmajā datumā pēc tam, kad Eiropas Komisija ir pieņēmusi lēmumu par šo noteikumu ietvaros piešķiramā valsts atbalsta nosacījumu atbilstību Eiropas Savienības iekšējā tirgus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tam kad Eiropas Komisija pieņēmusi lēmumu par šo noteikumu ietvaros piešķiramā valsts atbalsta nosacījumu atbilstību Eiropas Savienības iekšējā tirgus nosacījumiem, atbildīgā iestāde nosūta attiecīgu paziņojumu publicēšanai oficiālajā izdevumā "Latvijas Vēstnesis".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14., 41., 42., 43., 44., 45., 46. un 48. punkts neattiecas uz projektiem, kuros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atbalstu, kas piešķirts šo noteikumu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saskaņā ar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04.07.2017. noteikumu Nr. 394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par šo noteikumu 55.2. apakšpunktā paredzēto valsts atbalsta kumulāciju iesniedz sadarbības iestādei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projektu īsteno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projekta iesniedzējs, tas kopā ar projekta iesniegumu iesniedz sadarbības iestādē vispārējas tautsaimnieciskas nozīmes pakalpojuma pilnvarojuma uzlicēja apliecinājumu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apakšpunktā minētās atlīdzības (kompensācijas) maksājumu kontroli un pārskatīšanu, kā arī atlīdzības (kompensācijas) maksājumu pārmaksas novēršanu un atgūšanu un par to, ka pārbaudes tiks veiktas regulāri, bet ne retāk kā reizi trijos gados un pilnvarojuma akta (līguma)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atbalsta saņēmējam ir pienākums atmaksāt sadarbības iestādei visu projekta ietvaros saņemto nelikumīgo komercdarbības atbalstu kopā ar procentiem, kuru likmi publicē Eiropas Komisija saskaņā ar Komisijas 2004. gada 21. aprīļa Regulas (EK) Nr.  </w:t>
      </w:r>
      <w:r w:rsidR="00000000" w:rsidRPr="00000000" w:rsidDel="00000000">
        <w:rPr>
          <w:rtl w:val="0"/>
        </w:rPr>
        <w:t xml:space="preserve">794/2004</w:t>
      </w:r>
      <w:r w:rsidR="00000000" w:rsidRPr="00000000" w:rsidDel="00000000">
        <w:rPr>
          <w:rtl w:val="0"/>
        </w:rPr>
        <w:t xml:space="preserve">,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w:t>
      </w:r>
      <w:r w:rsidR="00000000" w:rsidRPr="00000000" w:rsidDel="00000000">
        <w:rPr>
          <w:rtl w:val="0"/>
        </w:rPr>
        <w:t xml:space="preserve">794/2004</w:t>
      </w:r>
      <w:r w:rsidR="00000000" w:rsidRPr="00000000" w:rsidDel="00000000">
        <w:rPr>
          <w:rtl w:val="0"/>
        </w:rPr>
        <w:t xml:space="preserve">), 10. pantu, tiem pieskaitot 100 bāzes punktus, no dienas, kad nelikumīgais komercdarbības atbalsts tika izmaksāts finansējuma saņēmējam, līdz tā atgūšanas dienai, ievērojot Komisijas regulas Nr.  </w:t>
      </w:r>
      <w:r w:rsidR="00000000" w:rsidRPr="00000000" w:rsidDel="00000000">
        <w:rPr>
          <w:rtl w:val="0"/>
        </w:rPr>
        <w:t xml:space="preserve">794/2004</w:t>
      </w:r>
      <w:r w:rsidR="00000000" w:rsidRPr="00000000" w:rsidDel="00000000">
        <w:rPr>
          <w:rtl w:val="0"/>
        </w:rPr>
        <w:t xml:space="preserve">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21-TA-534</w:t>
    </w:r>
    <w:r>
      <w:br/>
    </w:r>
    <w:r w:rsidR="00000000" w:rsidRPr="00000000" w:rsidDel="00000000">
      <w:rPr>
        <w:rtl w:val="0"/>
      </w:rPr>
      <w:t xml:space="preserve">Izdrukāts 29.07.2026. 23.00 - 2.0.VK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21-TA-534</w:t>
    </w:r>
    <w:r>
      <w:br/>
    </w:r>
    <w:r w:rsidR="00000000" w:rsidRPr="00000000" w:rsidDel="00000000">
      <w:rPr>
        <w:rtl w:val="0"/>
      </w:rPr>
      <w:t xml:space="preserve">Izdrukāts 29.07.2026. 23.00 - 2.0.VK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noteikumu_konsolidētā_versija_21-TA-534.docx</dc:title>
</cp:coreProperties>
</file>

<file path=docProps/custom.xml><?xml version="1.0" encoding="utf-8"?>
<Properties xmlns="http://schemas.openxmlformats.org/officeDocument/2006/custom-properties" xmlns:vt="http://schemas.openxmlformats.org/officeDocument/2006/docPropsVTypes"/>
</file>