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aprīlī (prot. Nr. 18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28. augusta rīkojumā Nr. 710 "Par konceptuālo ziņojumu "Par tiesu ekspertīžu institūta reformas gaitu un turpmāk veicamajiem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augusta rīkojumā Nr. 710 "Par konceptuālo ziņojumu "Par tiesu ekspertīžu institūta reformas gaitu un turpmāk veicamajiem pasākumiem"" (Latvijas Vēstnesis, 2024, 169.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Tieslietu ministrijai sadarbībā ar Iekšlietu ministriju sagatavot un tieslietu ministram līdz 2028. gada 1. maijam noteiktā kārtībā iesniegt Ministru kabinetā normatīvo aktu projektus šā rīkojuma 1. un 2. punktā minētā risinājuma ieviešanai."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Tieslietu ministram līdz 2028. gada 1. martam iesniegt Ministru kabinetā ziņojumu par informatīvā ziņojuma "Par tiesu ekspertīžu institūta reformas gaitu" 2. pielikumā ietverto pasākumu izpildes gaitu. Informatīvā ziņojuma "Par tiesu ekspertīžu institūta reformas gaitu" 2. pielikumā ietvertie pasākumi, izņemot 10.3. pasākumu, 2026., 2027., 2028. un 2029. gadā ir īstenojami atbildīgajām institūcijām piešķirto līdzekļu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Pieņemt zināšanai, ka finanšu aprēķini par vienotās tiesu ekspertīžu iestādes darbības nodrošināšanai nepieciešamo papildu finansējumu 2029. gadam un turpmāk un informatīvā ziņojuma "Par tiesu ekspertīžu institūta reformas gaitu" 2. pielikumā ietverto 2029. gadā īstenojamā 10.3. pasākuma ietekmi uz valsts budžetu tiks veikti līdz 2027. gada 31. martam, finanšu ietekmes jautājumu risinot 2027. gada budžeta izdevumu pārskatīšanas gaitā."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Pagarināt reformas īstenošanas termiņu līdz 2029. gada 31. maijam."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25-TA-2220</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25-TA-2220</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rīkojuma_(grozījumu)_projekts_25-TA-2220.docx</dc:title>
</cp:coreProperties>
</file>

<file path=docProps/custom.xml><?xml version="1.0" encoding="utf-8"?>
<Properties xmlns="http://schemas.openxmlformats.org/officeDocument/2006/custom-properties" xmlns:vt="http://schemas.openxmlformats.org/officeDocument/2006/docPropsVTypes"/>
</file>