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Patērētāju tiesību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aizsardzības likuma</w:t>
      </w:r>
      <w:r w:rsidR="00000000" w:rsidRPr="00000000" w:rsidDel="00000000">
        <w:rPr>
          <w:rStyle w:val="paragraph"/>
          <w:i w:val="1"/>
          <w:rtl w:val="0"/>
        </w:rPr>
        <w:t xml:space="preserve"> 8. panta ceturto daļu un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Reklāmas likuma</w:t>
      </w:r>
      <w:r w:rsidR="00000000" w:rsidRPr="00000000" w:rsidDel="00000000">
        <w:rPr>
          <w:rStyle w:val="paragraph"/>
          <w:i w:val="1"/>
          <w:rtl w:val="0"/>
        </w:rPr>
        <w:t xml:space="preserve"> 7.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2016. gada 25. oktobra noteikumos Nr. 691 "Noteikumi par patērētāja kreditēšanu" (Latvijas Vēstnesis, 2016, 213. nr.; 2018, 118. nr.; 2024, 53.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"101. Kredīta devējam nav tiesību prasīt kompensāciju, tai skaitā,  par izmaksām saistībā ar kredīta saistību pildīšanu pirms noteiktā termiņa, izņemot šo noteikumu 102. punktā noteikto gadījumu."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25-TA-218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25-TA-218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