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Peldvietu ūdens monitoringa rādītāji un kvalitātes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Iekšzemes ūdeņi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089"/>
        <w:gridCol w:w="1089"/>
        <w:gridCol w:w="1377"/>
        <w:gridCol w:w="3293"/>
        <w:tblGridChange w:id="0">
          <w:tblGrid>
            <w:gridCol w:w="610"/>
            <w:gridCol w:w="1760"/>
            <w:gridCol w:w="1089"/>
            <w:gridCol w:w="1089"/>
            <w:gridCol w:w="1377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Izcila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Analīzes metode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enterokoki 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 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 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Saskaņā ar šo noteikumu 6. pielikumā noteikto 95. 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Saskaņā ar šo noteikumu 6. pielikumā noteikto 90. 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KVV – koloniju veidojošās vienības.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Piekrastes un pārejas ūdeņi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089"/>
        <w:gridCol w:w="1089"/>
        <w:gridCol w:w="1377"/>
        <w:gridCol w:w="3293"/>
        <w:tblGridChange w:id="0">
          <w:tblGrid>
            <w:gridCol w:w="610"/>
            <w:gridCol w:w="1760"/>
            <w:gridCol w:w="1089"/>
            <w:gridCol w:w="1089"/>
            <w:gridCol w:w="1377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Izcila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Analīzes metode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enterokoki 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 </w:t>
            </w:r>
            <w:r w:rsidR="00000000" w:rsidRPr="00000000" w:rsidDel="00000000">
              <w:rPr>
                <w:rtl w:val="0"/>
              </w:rPr>
              <w:t xml:space="preserve">(KVV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Saskaņā ar šo noteikumu 6. pielikumā noteikto 95. 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Saskaņā ar šo noteikumu 6. pielikumā noteikto 90. procentiles aprēķināšanas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KVV – koloniju veidojošās vienības.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