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jūlijā (prot. Nr. 28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Bruņoto spēku Komunikāciju departamentam, Ukrainas robežsardzei, Ukrainas policijai, Ukrainas Nacionālajai gvardei, Harkivas apgabala Začepilivkas centrālajai slimnīcai, Harkivas Nacionālajai medicīnas universitātei, Ļvivas apgabala Sokiļņickas ciema domei, Hersonas apgabala Darivkas ciema domei, Čerņihivas apgabala reģionālajai administrācijai, Harkivas apgabala veterinārmedicīnas slimnīcai)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25-TA-1449</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25-TA-1449</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rīkojuma_projekts_25-TA-1449.docx</dc:title>
</cp:coreProperties>
</file>

<file path=docProps/custom.xml><?xml version="1.0" encoding="utf-8"?>
<Properties xmlns="http://schemas.openxmlformats.org/officeDocument/2006/custom-properties" xmlns:vt="http://schemas.openxmlformats.org/officeDocument/2006/docPropsVTypes"/>
</file>