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23. augustā (prot. Nr. 41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19. aprīļa noteikumos Nr. 312 "Enerģijas lietotāju apgādes un kurināmā pārdošanas kārtība izsludinātas enerģētiskās krīzes laikā un valsts apdraudējuma gadījumā"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64.panta pirmo daļu un 73.pantu</w:t>
      </w:r>
      <w:r>
        <w:br/>
      </w:r>
      <w:r w:rsidR="00000000" w:rsidRPr="00000000" w:rsidDel="00000000">
        <w:rPr>
          <w:rStyle w:val="paragraph"/>
          <w:i w:val="1"/>
          <w:rtl w:val="0"/>
        </w:rPr>
        <w:t xml:space="preserve">un </w:t>
      </w:r>
      <w:r w:rsidR="00000000" w:rsidRPr="00000000" w:rsidDel="00000000">
        <w:rPr>
          <w:rStyle w:val="paragraph"/>
          <w:i w:val="1"/>
          <w:rtl w:val="0"/>
        </w:rPr>
        <w:t xml:space="preserve">Mobilizācijas likuma</w:t>
      </w:r>
      <w:r w:rsidR="00000000" w:rsidRPr="00000000" w:rsidDel="00000000">
        <w:rPr>
          <w:rStyle w:val="paragraph"/>
          <w:i w:val="1"/>
          <w:rtl w:val="0"/>
        </w:rPr>
        <w:t xml:space="preserve"> 9.panta 7.punkta "a"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19. aprīļa noteikumos Nr. 312 "Enerģijas lietotāju apgādes un kurināmā pārdošanas kārtība izsludinātas enerģētiskās krīzes laikā un valsts apdraudējuma gadījumā" (Latvijas Vēstnesis, 2011, 69. nr.; 2013, 37., 179. nr.; 2016, 164. nr.; 2017, 70. nr.; 2018, 101. nr.; 2019, 257. nr.; 2021, 225.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nodrošināmie lietotāji – mājsaimniecības, skolas, pirmsskolas izglītības iestādes, slimnīcas, valsts un pašvaldību ilgstošas sociālās aprūpes un sociālās rehabilitācijas institūcijas, krīzes centri, sociālās rehabilitācijas institūcijas personām, kurām izveidojusies atkarība no narkotiskajām, toksiskajām vai citām apreibinošām vielām,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kā arī energoapgādes komersants, kas saskaņā ar normatīvajiem aktiem par elektroenerģijas sistēmas vadības un lietošanas kārtību kontrolē dispečervadības grafika ģenerētājvienību ar jaudu virs 100 MW un elektroenerģijas jaudas ģenerācijas pieejamību vismaz 900 stundas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pirmās grupas enerģijas lietotājiem un nodrošināmiem lietotājiem, kā arī dabasgāzes lietotājiem tādā apmērā, kādā tie glabā dabasgāzi Inčukalna pazemes gāzes krātuvē pirmā līmeņa enerģētiskās krīzes izsludināšanas brīdī, enerģijas patēriņš no dabasgāzes netiek ierobežots;".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nodrošināmiem lietotājiem, kā arī dabasgāzes lietotājiem tādā apmērā, kādā tie glabā dabasgāzi Inčukalna pazemes gāzes krātuvē otrā līmeņa enerģētiskās krīzes izsludināšanas brīdī, enerģijas patēriņš netiek ierobežots."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nodrošināmiem lietotājiem, kā arī dabasgāzes lietotājiem tādā apmērā, kādā tie glabā dabasgāzi Inčukalna pazemes gāzes krātuvē trešā līmeņa enerģētiskās krīzes izsludināšanas brīdī, enerģijas patēriņš netiek ierobežots."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Izsludinātas valsts enerģētiskās krīzes gadījumā dabasgāzes uzglabāšanas sistēmas operators vienas dienas laikā iesniedz Valsts enerģētiskās krīzes centram un dabasgāzes sadales sistēmas operatoram dabasgāzes patērētāju sarakstu un informāciju par dabasgāzes apjomu, kas tiek glabāta  Inčukalna pazemes gāzes krātuvē enerģētiskās krīzes izsludināšanas brīdī."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Energoapgādes komersantiem, kas saskaņā ar normatīvajiem aktiem par elektroenerģijas sistēmas vadības un lietošanas kārtību kontrolē dispečervadības grafika ģenerētājvienību ar jaudu virs 100 MW un elektroenerģijas jaudas ģenerācijas pieejamību vismaz 900 stundas gadā, Valsts enerģētiskās krīzes centrs nosaka enerģijas patēriņa ierobežojumus individuāli katram lietotāja objektam. Valsts enerģētiskās krīzes centrs par ierobežojumiem  katram lietotāja objektam informē dabasgāzes sadales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atbilstoši šo noteikumu 33. punktam Ministru kabinets lemj izsludināt valsts enerģētisko krīzi dabasgāzes apgādes jomā un dabasgāzes tirgotājs nevar apgādāt nodrošināmos lietotājus ar dabasgāzi, nodrošināmo lietotāju apgādi veic akciju sabiedrība "Latvenergo"."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w:t>
      </w:r>
      <w:r w:rsidR="00000000" w:rsidRPr="00000000" w:rsidDel="00000000">
        <w:rPr>
          <w:vertAlign w:val="superscript"/>
          <w:rtl w:val="0"/>
        </w:rPr>
        <w:t xml:space="preserve">1</w:t>
      </w:r>
      <w:r w:rsidR="00000000" w:rsidRPr="00000000" w:rsidDel="00000000">
        <w:rPr>
          <w:rtl w:val="0"/>
        </w:rPr>
        <w:t xml:space="preserve"> punktā minētās funkcijas izpildei."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22-TA-2527</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22-TA-2527</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noteikumu_(grozījumu)_projekts_22-TA-2527.docx</dc:title>
</cp:coreProperties>
</file>

<file path=docProps/custom.xml><?xml version="1.0" encoding="utf-8"?>
<Properties xmlns="http://schemas.openxmlformats.org/officeDocument/2006/custom-properties" xmlns:vt="http://schemas.openxmlformats.org/officeDocument/2006/docPropsVTypes"/>
</file>