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Preču un pakalpojumu loteriju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Preču un pakalpojumu loteriju likumā (Latvijas Republikas Saeimas un Ministru Kabineta Ziņotājs, 2003, 15., 23. nr.; 2006, 1. nr.; Latvijas Vēstnesis, 2013, 188. nr.; 2016, 241. nr.; 2019, 224.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3. pantā vārdus "Izložu un azartspēļu uzraudzības inspekcijā (turpmāk – Inspekcija)" ar vārdiem "Valsts ieņēmumu dienestā (turpmāk –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izņemot pārejas noteikumus, vārdu "Inspekcija" (attiecīgā locījumā) ar vārdu "Dienests"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11.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pants.</w:t>
      </w:r>
      <w:r w:rsidR="00000000" w:rsidRPr="00000000" w:rsidDel="00000000">
        <w:rPr>
          <w:rtl w:val="0"/>
        </w:rPr>
        <w:t xml:space="preserve"> Uzraudzību un kontroli pār to, kā loterijas atļaujas saņēmējs ievēro šo likumu, citus normatīvos aktus un preču vai pakalpojumu loterijas noteikumus, veic Dienests, kā arī Valsts policija saskaņā ar likumā "Par policiju" noteikto kārtību. Kārtību, kādā Dienests uzrauga un kontrolē, kā preču un pakalpojumu loterijas atļaujas saņēmējs ievēro Preču un pakalpojumu loteriju likumu, citus normatīvos aktus un preču vai pakalpojumu loterijas noteikumus,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22.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Iesniegumus par preču vai pakalpojumu loterijas atļaujas izsniegšanu, kas iesniegti Izložu un azartspēļu uzraudzības inspekcijā līdz 2026. gada 31. martam, bet attiecībā uz kuriem Izložu un azartspēļu uzraudzības inspekcija nav pieņēmusi lēmumu par loterijas atļaujas piešķiršanu vai atteikumu piešķirt loterijas atļauju, izskata un lēmumu saskaņā ar šajā likumā noteiktajiem termiņiem pieņem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25-TA-2056</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25-TA-2056</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likumprojekts_(grozījumi)_25-TA-2056.docx</dc:title>
</cp:coreProperties>
</file>

<file path=docProps/custom.xml><?xml version="1.0" encoding="utf-8"?>
<Properties xmlns="http://schemas.openxmlformats.org/officeDocument/2006/custom-properties" xmlns:vt="http://schemas.openxmlformats.org/officeDocument/2006/docPropsVTypes"/>
</file>