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projektu iesniegumu pirmās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(turpmāk – pasākums) pirmo projektu iesniegumu atlases kārtu (turpmāk – atlases kārta);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atlases kārtai plānoto un pieejamo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vispārēju sabiedrības informētību un izglītošanu par bioloģiskās daudzveidības un klimata jautājumiem, kā arī vispārējiem vides procesiem, uzlabot sabiedrības vides apziņu.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mērķis ir nacionālo parku dabas centru (turpmāk - dabas un vides izglītības centri) (kas ir arī tūrisma objekti) infrastruktūras pilnveide un attīstība, nodrošinot mūsdienīgu saturu un metodes, kas veicinātu sabiedrības izpratni par bioloģisko daudzveidību, klimata jautājumiem un vispārējiem vides procesiem.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kārtas projektu uzraudzības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atbalstīto kultūras un tūrisma objektu skaits, sasniedzot vērtību – četri atbalstīti dabas un vides izglītības centri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atbalstīto kultūras un tūrisma objektu apmeklētāju skaits. Rezultāta rādītājs tiek sasniegts, ja pirmā projekta pēcuzraudzības gada beigās apmeklētāju skaits atbalstītajos dabas un vides izglītības informācijas centros būs pieaudzis līdz 201 000 apmeklētājiem.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vismaz 9 570 000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8 134 500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vismaz 1 435 500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Eiropas Reģionālās attīstības fonda finansējuma apmērs nepārsniedz 85 procentus no projekta kopējā attiecināmā finansējuma, un valsts budžeta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atlases kārtas ietvaros, kas pēc projekta iesnieguma apstiprināšanas kļūst par finansējuma saņēmēju, ir tiešās valsts pārvaldes iestāde, kas saskaņā ar iestādes nolikumu izglīto sabiedrību dabas aizsardzības jautājumos – Dabas aizsardzības pārvalde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plāno projektā sasniedzamos uzraudzības rādītājus un Eiropas Reģionālās attīstības fonda finansējumu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noteiktajiem rādītājiem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ietvaros netiek atbalstītas projekta iesniedzēja aktivitātes, kurām atbalsts ir kvalificējams kā komercdarbības atbalsts. Atlases kārtas ietvaros atbalsts tiek sniegts valsts pārvaldes funkciju īstenošanai un pārvaldes uzdevumu izpildei.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ja projektā plānoti ieņēmumi, ievērojot, ka ieņēmumi projektā nevar pārsniegt infrastruktūras uzturēšanas izdevumus.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Atlases kārtas ietvaros saskaņā ar valsts vidēja termiņa attīstības plānošanas un vides politikas plānošanas dokumentos un noteiktajiem pārvaldes uzdevumiem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dabas un vides izglītības centru un tiem nepieciešamās infrastruktūras būvniecība;</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esošo ēku infrastruktūras atjaunošana vai pārbūve, pielāgojot to dabas un vides izglītības centra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komunikāciju un būvju izveide vides un dabas izglītības centru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komunikācijas tehnoloģiju un sistēmu iegāde vai izstrāde vides un dabas izglītības centru un ekspozīciju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dabas un vides izglītības centru iekštelpu un ārtelpas ekspozīciju izveide un paplašināšana;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atjaunojamos energoresursus izmantojošu enerģiju ražojošu, tai skaitā bezizmešu iekārtu ierīkošana, ja tiek ievēroti šādi nosacījumi: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 kas gadā saražota ar projektā iekļautajām iekārtām, 100 procentu apmērā tiks izmantota ēkas pašpatēriņam;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uzstādītajām iekārtām un infrastruktūrai jāatrodas projekta ēkā vai ar to saistītajā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videi draudzīga apgaismojuma ierīkošana dabas un vides izglītības centru darbības nodrošināšanai, tai skaitā inovatīvi apgaismojuma risinājumi, kas ietver atjaunojamos energoresursus izmantojošas enerģiju ražojošas iekārtas, un viedo tehnoloģiju iegāde un uzstādīšana, ievērojot, ka 100 procenti no gadā saražotās enerģijas tiek izmantoti pašpatēriņam;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Atlases kārtas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tai skaitā ar būvniecības ieceri un būvprojekta minimālā sastāva sagatavošanu saistītās izmaksas, būvprojekta ekspertīzes izmaksas, ja ekspertīzes veikšanu nosaka būvniecības jomu regulējošie normatīvie akti, kā arī autoruzraudzības un būvdarbu būvuzraudzības izmaksas, ja to veikšanu nosaka būvniecības jomu regulējošie normatīvie akti, bet kopā ne vairāk kā 10 procenti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infrastruktūras būvdarbu, esošās infrastruktūras nojaukšanas, pārbūves vai atjaunošanas izmaksas, tai skaitā vides un informācijas pieejamības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ēkas būvniecības izmaksas, īstenojot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atbalstāmo darbību: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un ar to saistītās infrastruktūras būvniecība, tai skaitā iekārtu un tāda aprīkojuma iegāde un uzstādīšana, kas paredzēts būvprojektā un nepieciešams būves vai tās daļas pieņemšanai ekspluatācijā vai kas nepieciešams ēkas funkcionalitātes nodrošināšanai un veido ēkas inženiertīklus. Atbalstāma ir "zaļās" infrastruktūras risinājumu izmantošana, tai skaitā telpu dzesēšanas un ventilācijas risinājumi, kuri nodrošina tādu iekštelpu gaisa apmaiņu un ventilāciju, kas mazina kaitējumu veselībai un novērš ekstremālas gaisa temperatūras maiņas ietekmi uz cilvēku;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sabiedrisko pakalpojumu pieslēgumu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pārbūves vai atjaunošanas būvdarbiem esošā ēkā, īstenojot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atbalstāmās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 ēkas norobežojošajās konstrukcijās, tai skaitā darbības, kas nodrošina ēkas energoefektivitātes paaugstināšanu un ir paredzētas ēkas energosertifikātā;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sabiedrisko pakalpojumu pieslēgumu būvniecība, pārbūve vai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ēkas inženiertīklu (ārējo un iekšējo)  pārbūve, atjaunošana vai izveide, ja tā nepieciešama projekta rezultātu sasniegšanai vai nodrošina enerģijas patēriņa samazinājumu, tai skaitā ventilācijas un apgaismojuma inženiertehnisko sistēmu pārbūve, atjaunošana vai izveide, ēkas enerģijas patēriņa vadības viedo tehnoloģiju iegāde, piegāde, uzstādīšana, noregulēšana un programmatūru licences vai programmatūras lietošanas pakalpojuma iegāde vai noma, kā arī viedo tehnoloģiju darbības nodrošināšanai nepieciešamo mākoņservisu izmantošana;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gaisu piesārņojošo vielu emisiju attīrīšanas iekārtu, tai skaitā elektrostatisko filtru iegāde un uzstādīšana, ja tā tiek veikta vienlaikus ar cietās biomasas kurināmā siltumenerģijas ražošanas iekārtu rekonstrukciju, iegādi, atjaunošanu vai nomaiņu;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pastāvīga elektropieslēguma izveides, apsardzes un videonovērošanas sistēmas piegādes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telpu aprīkojuma iegādes un uzstādīšanas izmaksas dabas un vides izglītības centru funkcionalitātei un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izglītojošo un informatīvo materiālu izstrādes, pastāvīgo ekspozīciju izveides, izstāžu aprīkojuma iegādes izmaksas dabas un vides izglītības centru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teritorijas labiekārtošana, tai skaitā teritorijas apzaļumošana, tai skaitā koku stādīšana, labiekārtojuma elementu iegāde un uzstādīšana (piemēram, soliņi, celiņi, apgaismojums, atkritumu tvertnes, žogi, vaļējas terases, nojumes) cietā seguma un stāvlaukuma būvniecības, pārbūves vai atjaunošanas izmaksas, kas nepārsniedz 30 procentus no projekta attiecināmajām tiešajām izmaksām;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virszemes un pazemes komunikāciju infrastruktūras pārbūve, nepalielinot tās apkalpes jaudu raksturojošos tehniskos parametrus, ja, veicot projektā plānotās ēku attīstības vai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saistītas ar atjaunojamos energoresursus izmantojošu enerģiju ražojošu avotu iegādi un uzstādīšanu, ievērojot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izvirzītos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publicitātes pasākumu izmaksas sabiedrības informēšanas, izglītošanas un iesaistes aktivitātēm, attīstot un pilnveidojot sabiedrības vides apziņu;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tiešās attiecināmās projekta vadības un īstenošanas personāla atlīdzības izmaksas, maksa par veselības apdrošināšanas prēmiju, novērtēšanas pabalsti un naudas balvas, tai skaitā valsts sociālās apdrošināšanas obligātās iemaksas, kuras saskaņā ar </w:t>
      </w:r>
      <w:r w:rsidR="00000000" w:rsidRPr="00000000" w:rsidDel="00000000">
        <w:rPr>
          <w:i w:val="1"/>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55. panta 1. punktu projekta iesniegumā plāno kā vienu izmaksu pozīciju, piemērojot izmaksu vienoto likmi 11 procentu apmērā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izmaksas, kas saistītas ar papildu ekspertu piesaisti īslaicīgu un specifisku darbu veikšanai projekta īstenošanas laikā uz uzņēmuma (pakalpojuma) līguma pamata, piemēram, sugu un biotopu eksperts, ēku apsaimniekošanas eksperts, būvuzraugs u.c.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 personāla darba braucienu un iekšzemes komandējumu un transporta pakalpojumu izmaksas, kas saistītas ar projekta īstenošanu (maksa par degvielu, sabiedriskā transporta izmantošana, viesnīcas izmaksas, dienas nauda), kurām piemēro metodiku par vienas vienības izmaksu standarta likmes aprēķināšanu un piemērošanu viena kilometra izmaksām un metodiku par iekšzemes komandējumu izmaksu segšanu;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darba vietas aprīkojuma iegādes izmaksas jaunu darba vietu radīšanai vai esošo darba vietu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jaunradītas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daļlaika izmaksu attiecināšanas principa gadījumā tiek ņemts vērā darbinieka iesaistes periods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normatīvo aktu par kārtību, kādā Eiropas Savienības fondu vadībā iesaistītās institūcijas nodrošina šo fondu ieviešanu 2021.–2027.gada plānošanas periodā, nepārsniedzot vienu procentu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netiek atbalstīta esošu vai jaunu fosilo energoresursu iekārtu modernizācija vai iegāde.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atbalstāmo darbību īstenošanai plāno kā vienu izmaksu pozīciju, piemērojot netiešo izmaksu vienoto likmi septiņu procentu apmērā no šo noteikumu </w:t>
      </w:r>
      <w:r w:rsidR="00000000" w:rsidRPr="00000000" w:rsidDel="00000000">
        <w:rPr>
          <w:rtl w:val="0"/>
        </w:rPr>
        <w:t xml:space="preserve">19.14.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Atlases kārtas ietvaros projektam plāno rezerves izmaksas, kas saistītas ar būvniecību un tās paredz ne vairāk kā 10 procentu apmērā no attiecināmo būvniecības izmaksu kopsummas.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ar regulas Nr. 2021/1060 64. panta 1. punkta "c"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minētās izmaksas ir attiecināmas, ja ar saimniecisko darbību nesaistītā projekta ēkā, kurā netiek veikta saimnieciskā darbība, tiek veikta papildinoša saimnieciskā darbība, kas kopumā nepārsniedz 20 procentus no ēkas kopējās gada jaudas (platības, laika vai finanšu izteiksmē).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Ar papildinošu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 Vides aizsardzības un reģionālās attīstības ministrija izstrādā metodiskos norādījumus par papildinošas saimnieciskās darbības kontroli un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no 2023. gada 1. janvāra, taču projekta darbības nevar būt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pieņem lēmumu par projekta apstiprināšanu, apstiprināšanu ar nosacījumiem vai noraidīšanu viena mēneša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Atlases kārtas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attiecināms, projekta ietvaros, veicot publiskos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w:t>
      </w:r>
      <w:r w:rsidR="00000000" w:rsidRPr="00000000" w:rsidDel="00000000">
        <w:rPr>
          <w:i w:val="1"/>
          <w:rtl w:val="0"/>
        </w:rPr>
        <w:t xml:space="preserve">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Finansiālā atbalsta instrumentu robežu pārvaldībai un vīzu politikai </w:t>
      </w:r>
      <w:r w:rsidR="00000000" w:rsidRPr="00000000" w:rsidDel="00000000">
        <w:rPr>
          <w:rtl w:val="0"/>
        </w:rPr>
        <w:t xml:space="preserve">47. un 50. pantā un saskaņā 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pārliecinās, ka līdzfinansēto preču, pakalpojumu vai būvdarbu izmaksas atbilst tirgus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nosacījumus, kā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projekta īstenošanas laikā un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un uzturēšanu vismaz piecus gadus pēc noslēguma maksājuma veikšanas, bet, ja projekta ietvaros izveidotās infrastruktūras kalpošanas ilgums ir ilgāks, tad visu projekta iesniegumā norādīto infrastruktūras kalpošanas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minētā rādītāja uzskaiti vismaz gadu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horizontālo principu rādītājiem, veic datu ievadi Kohēzijas politikas fondu vienotās informācijas sistēmā projekta īstenošanas un pēcuzraudzības laikā, tai skaitā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veiktā vides un informācijas piekļūstamības pašnovērtējuma rezultātu atbilstoši Labklājības ministrijas izstrādātajai metodikai un pašnovērtējumā iegūto punktu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pasākumiem par būvētās vides piekļūstamību personām ar dažādiem funkcionāliem traucējumiem (piemēram, vides piekļūstamības ekspertu konsultācijas būvprojekta izstrādes un pabeigšanas posmā)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izpilda nepieciešamās prasības, lai nodrošinātu horizontālo principu "Nenodarīt būtisku kaitējumu" un "Klimatdrošināšana", kā arī Eiropas Savienības un Latvijas Republikas normatīvo aktu ievērošanu vides aizsardzības jomā,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apliecinājumu, ka noteiks pienākumu būvdarbu veicējiem vai pakalpojumu sniedzējiem ievērot šādas prasības: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tiek nodrošināta atbilstība ar pielāgošanos klimata pārmaiņām saistītiem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īstenojot īpaši aizsargājamā dabas teritorijā vai tās aizsargjoslā, darbi tiek veikti atbilstoši īpaši aizsargājamo dabas teritoriju aizsardzību un izmantošanu regulējošiem normatīvajiem aktiem, projekts negatīvi neietekmēs īpaši aizsargājamo dabas teritoriju aizsardzības un apsaimniekošanas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uzkrāj datus par projekta ietekmi uz horizontālo principu īstenošanu, veic datu ievadi Kohēzijas politikas fondu vienotās informācijas sistēmā projekta īstenošanas un pēcuzraudzības laikā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iniciatīvas Eiropas Jaunais "Bauhaus" principus: estētika, ilgtspēja, iekļautība, tai skaitā, nodrošinot klimata pārmaiņām pielāgoto risinājumu iekļaušanos apkārtējā ainavā, dabā balstīto risinājumu, universālā dizaina principu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informē sadarbības iestādi par jaunas vai esošas būves ikgadējo enerģijas patēriņu (megavatstundās) trīs gadus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Eiropas Reģionālās attīstības fonda finansējuma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Avansa maksājuma izlietošanas laiks finansējuma saņēmējam nepārsniedz deviņus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tiek konstatēts, ka pārsniegts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minētais 20 procentu apjoms no ēkas kopējās gada jaudas projekta ieviešanas gaitā vai projekta dzīves ciklā (tajā skaitā infrastruktūras amortizācijas periodā), kurā netiek veikta saimnieciskā darbība, finansējuma saņēmējam proporcionāli tai ēkas daļai (platības, laika vai finanšu izteiksmē), par kuru kopumā ir konstatēts pārkāpums, ir pienākums atmaksāt sadarbības iestādei visu projekta ietvaros saņemto nelikumīgo komercdarbības atbalstu kopā ar procentiem par attiecīgo gadu, kurā pārsniegts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noteiktais  20 procentu apjoms no ēkas kopējās gada jaudas, kurā netiek veikta saimnieciskā darbība,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 Ja ar saimniecisku darbību nesaistīts projekts ieviešanas gaitā vai projekta dzīves ciklā (tajā skaitā infrastruktūras amortizācijas periodā)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 neskarot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paredzētos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visā projekta dzīves ciklā katru gadu sagatavo pārskatu par papildinošās saimnieciskās darbības apjomu un nodrošina to un aprēķinus pamatojošo dokumentu pieejamību papildinošās saimnieciskās darbības uzraudzībai;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konstatējot, ka ir pārsniegts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noteiktais ierobežojums, vienošanās  par projekta īstenošanu noteiktajā termiņā un kārtībā, iesniedz sadarbības iestādei ziņojumu par pārkāpumu.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23-TA-2111</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23-TA-2111</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noteikumu_projekts_23-TA-2111.docx</dc:title>
</cp:coreProperties>
</file>

<file path=docProps/custom.xml><?xml version="1.0" encoding="utf-8"?>
<Properties xmlns="http://schemas.openxmlformats.org/officeDocument/2006/custom-properties" xmlns:vt="http://schemas.openxmlformats.org/officeDocument/2006/docPropsVTypes"/>
</file>