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janvārī (prot. Nr. 3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ministrijas armijas daļām, Harkivas apgabala Izjumas rajona Doņeckas ciema padomes komunālajam nekomerciālajam uzņēmumam "Primārās medicīniskās un sanitārās aprūpes centrs", Mikolajivas apgabala Arbuzinskas ciema padomei, Nacionālās gvardes militārajai vienībai, Hmeļnickas reģiona Kamjanecas-Podiļskas rajona padomei un Hmeļnickas reģiona Kitajgorodas ciema padomei)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24-TA-11</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24-TA-11</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rīkojuma_projekts_24-TA-11.docx</dc:title>
</cp:coreProperties>
</file>

<file path=docProps/custom.xml><?xml version="1.0" encoding="utf-8"?>
<Properties xmlns="http://schemas.openxmlformats.org/officeDocument/2006/custom-properties" xmlns:vt="http://schemas.openxmlformats.org/officeDocument/2006/docPropsVTypes"/>
</file>