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(Latvijas Vēstnesis, 2024, 125., 141.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12 192 293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w:t>
      </w:r>
      <w:r w:rsidR="00000000" w:rsidRPr="00000000" w:rsidDel="00000000">
        <w:rPr>
          <w:rtl w:val="0"/>
        </w:rPr>
        <w:t xml:space="preserve">  un valsts budžeta līdzfinansējums – 1 828 844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 pirmās kārtas īstenošanai pieejamo kopējo finansējumu plāno ne vairāk kā 12 192 293 </w:t>
      </w:r>
      <w:r w:rsidR="00000000" w:rsidRPr="00000000" w:rsidDel="00000000">
        <w:rPr>
          <w:i w:val="1"/>
          <w:rtl w:val="0"/>
        </w:rPr>
        <w:t xml:space="preserve">euro </w:t>
      </w:r>
      <w:r w:rsidR="00000000" w:rsidRPr="00000000" w:rsidDel="00000000">
        <w:rPr>
          <w:rtl w:val="0"/>
        </w:rPr>
        <w:t xml:space="preserve">apmērā, tai skaitā Eiropas Sociālā fonda Plus finansējumu – 10 363 449 </w:t>
      </w:r>
      <w:r w:rsidR="00000000" w:rsidRPr="00000000" w:rsidDel="00000000">
        <w:rPr>
          <w:i w:val="1"/>
          <w:rtl w:val="0"/>
        </w:rPr>
        <w:t xml:space="preserve">euro </w:t>
      </w:r>
      <w:r w:rsidR="00000000" w:rsidRPr="00000000" w:rsidDel="00000000">
        <w:rPr>
          <w:rtl w:val="0"/>
        </w:rPr>
        <w:t xml:space="preserve">apmērā un valsts budžeta līdzfinansējumu – 1 828 844 </w:t>
      </w:r>
      <w:r w:rsidR="00000000" w:rsidRPr="00000000" w:rsidDel="00000000">
        <w:rPr>
          <w:i w:val="1"/>
          <w:rtl w:val="0"/>
        </w:rPr>
        <w:t xml:space="preserve">euro </w:t>
      </w:r>
      <w:r w:rsidR="00000000" w:rsidRPr="00000000" w:rsidDel="00000000">
        <w:rPr>
          <w:rtl w:val="0"/>
        </w:rPr>
        <w:t xml:space="preserve">apmērā. Vienam projekta iesniegumam pasākuma pirmajā kārtā pieejamais minimālais finansējums ir 500 000 </w:t>
      </w:r>
      <w:r w:rsidR="00000000" w:rsidRPr="00000000" w:rsidDel="00000000">
        <w:rPr>
          <w:i w:val="1"/>
          <w:rtl w:val="0"/>
        </w:rPr>
        <w:t xml:space="preserve">euro </w:t>
      </w:r>
      <w:r w:rsidR="00000000" w:rsidRPr="00000000" w:rsidDel="00000000">
        <w:rPr>
          <w:rtl w:val="0"/>
        </w:rPr>
        <w:t xml:space="preserve">(tai skaitā Eiropas Sociālā fonda Plus finansējums – 425 000 </w:t>
      </w:r>
      <w:r w:rsidR="00000000" w:rsidRPr="00000000" w:rsidDel="00000000">
        <w:rPr>
          <w:i w:val="1"/>
          <w:rtl w:val="0"/>
        </w:rPr>
        <w:t xml:space="preserve">euro</w:t>
      </w:r>
      <w:r w:rsidR="00000000" w:rsidRPr="00000000" w:rsidDel="00000000">
        <w:rPr>
          <w:rtl w:val="0"/>
        </w:rPr>
        <w:t xml:space="preserve"> un valsts budžeta līdzfinansējums – 75 000 </w:t>
      </w:r>
      <w:r w:rsidR="00000000" w:rsidRPr="00000000" w:rsidDel="00000000">
        <w:rPr>
          <w:i w:val="1"/>
          <w:rtl w:val="0"/>
        </w:rPr>
        <w:t xml:space="preserve">euro</w:t>
      </w:r>
      <w:r w:rsidR="00000000" w:rsidRPr="00000000" w:rsidDel="00000000">
        <w:rPr>
          <w:rtl w:val="0"/>
        </w:rPr>
        <w:t xml:space="preserve">), savukārt maksimālais finansējums ir 939 931 </w:t>
      </w:r>
      <w:r w:rsidR="00000000" w:rsidRPr="00000000" w:rsidDel="00000000">
        <w:rPr>
          <w:i w:val="1"/>
          <w:rtl w:val="0"/>
        </w:rPr>
        <w:t xml:space="preserve">euro </w:t>
      </w:r>
      <w:r w:rsidR="00000000" w:rsidRPr="00000000" w:rsidDel="00000000">
        <w:rPr>
          <w:rtl w:val="0"/>
        </w:rPr>
        <w:t xml:space="preserve">(tai skaitā Eiropas Sociālā fonda Plus finansējums – 798 941 </w:t>
      </w:r>
      <w:r w:rsidR="00000000" w:rsidRPr="00000000" w:rsidDel="00000000">
        <w:rPr>
          <w:i w:val="1"/>
          <w:rtl w:val="0"/>
        </w:rPr>
        <w:t xml:space="preserve">euro</w:t>
      </w:r>
      <w:r w:rsidR="00000000" w:rsidRPr="00000000" w:rsidDel="00000000">
        <w:rPr>
          <w:rtl w:val="0"/>
        </w:rPr>
        <w:t xml:space="preserve"> un valsts budžeta līdzfinansējums – 140 990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Projekta iesniegumā rādītājus plāno proporcionāli Eiropas Sociālā fonda Plus un valsts budžeta līdzfinansējumam. Ja projekta iesniegums ir iesniegts par maksimāli pieejamo finansējumu 939 931 </w:t>
      </w:r>
      <w:r w:rsidR="00000000" w:rsidRPr="00000000" w:rsidDel="00000000">
        <w:rPr>
          <w:i w:val="1"/>
          <w:rtl w:val="0"/>
        </w:rPr>
        <w:t xml:space="preserve">euro</w:t>
      </w:r>
      <w:r w:rsidR="00000000" w:rsidRPr="00000000" w:rsidDel="00000000">
        <w:rPr>
          <w:rtl w:val="0"/>
        </w:rPr>
        <w:t xml:space="preserve">, tad sasniedzamais rādītājs – mācībās iesaistīto darbinieku skaits – ir vismaz 92. Ja projekta iesniegums ir iesniegts par minimāli pieejamo finansējumu 500 000 </w:t>
      </w:r>
      <w:r w:rsidR="00000000" w:rsidRPr="00000000" w:rsidDel="00000000">
        <w:rPr>
          <w:i w:val="1"/>
          <w:rtl w:val="0"/>
        </w:rPr>
        <w:t xml:space="preserve">euro</w:t>
      </w:r>
      <w:r w:rsidR="00000000" w:rsidRPr="00000000" w:rsidDel="00000000">
        <w:rPr>
          <w:rtl w:val="0"/>
        </w:rPr>
        <w:t xml:space="preserve">, tad sasniedzamais rādītājs – mācībās iesaistīto darbinieku skaits – ir vismaz 49."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33.2.1.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"33.2.1. informācija par darba devēju, kurā nodarbināts mācībās iesaistītais darbinieks (nosaukums, reģistrācijas numurs, darba devēja pārstāvētā nozare saskaņā ar NACE 2.1. red., komersanta statuss, viedās specializācijas stratēģijā noteiktā 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"33.4. veikt pasākuma īstenošanai nepieciešamo preču un pakalpojumu iegādi saskaņā ar normatīvajiem aktiem publisko iepirkumu jomā, īstenojot atklātu, pārredzamu, nediskriminējošu, sociāli atbildīgu, ja attiecināms, un konkurenci neierobežojošu iepirkuma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"33.6. Finansējuma saņēmējs informāciju par projekta īstenošanas gaitu savā tīmekļvietnē aktualizē, tiklīdz tā ir pieejama, bet ne retāk kā reizi trijos mēnešos."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 pārbaudīt un novērst interešu konflikta, korupcijas un krāpšanas risku pirms darba devēja pieteikuma izskatīšanas, kā arī visā darba devēja aktivitāšu īstenošanas laikā nodrošināt pārbaužu dokumentēšanu un apliecinājuma parakstīšanu par interešu konflikta neesību, ja nepieciešams, novēršot identificētos riskus vai konstatēto interešu konfliktu. Apliecinājumu finansējuma saņēmējs glabā atbilstoši Eiropas Parlamenta un Padomes Regula (ES, Euratom) 2024/2509 (2024. gada 23. septembris) par finanšu noteikumiem, ko piemēro Savienības vispārējam budžetam (pārstrādāta redakcija)  (turpmāk – Komisijas regula 2024/2509), 132. 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33.18.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"33.18. elektroniski parakstīt objektivitātes, konfidencialitātes un interešu konflikta neesības apliecinājumu (3. pielikums). Šis pienākums attiecas uz visiem, kas iesaistās lēmuma pieņemšanas procesā par komercdarbības atbalsta piešķiršanu darba devējam. Apliecinājumu paraksta pirms pieteikuma izskatīšanas. Apliecinājumu finansējuma saņēmējs glabā atbilstoši Komisijas regulas 2024/2509 132. 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33.19.1.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"33.19.1. aprakstu, kā tiks veikti pasākumi interešu konflikta riska kontrolei saskaņā ar Komisijas regulas 2024/2509 61.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Atbalsts šo noteikumu 21.1.2.1. un 21.1.2.3. apakšpunktā minēto ārpakalpojuma izmaksu segšanai nav uzskatāms par komercdarbības atbalstu, ja finansējuma saņēmējs nodrošina projekta vadību, piemērojot šo noteikumu 26.2. apakšpunktā un 26.3. apakšpunktā minēto nosacījumu. Ja finansējuma saņēmējs nodrošina projekta vadību, šo izmaksu segšana ir uzskatāma par komercdarbības atbalstu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Šo noteikumu 53. punktā minētā attiecīgā atbalsta intensitāte tiek aprēķināta no gala labuma guvēja kopējām pieprasītajām apmācību projekta izmaksām."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w:t>
    </w:r>
    <w:r>
      <w:br/>
    </w:r>
    <w:r w:rsidR="00000000" w:rsidRPr="00000000" w:rsidDel="00000000">
      <w:rPr>
        <w:rtl w:val="0"/>
      </w:rPr>
      <w:t xml:space="preserve">Izdrukāts 29.07.2026. 23.51 - 1.0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w:t>
    </w:r>
    <w:r>
      <w:br/>
    </w:r>
    <w:r w:rsidR="00000000" w:rsidRPr="00000000" w:rsidDel="00000000">
      <w:rPr>
        <w:rtl w:val="0"/>
      </w:rPr>
      <w:t xml:space="preserve">Izdrukāts 29.07.2026. 23.51 - 1.0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noteikumu_(grozījumu)_projekts_25-TA-15.docx</dc:title>
</cp:coreProperties>
</file>

<file path=docProps/custom.xml><?xml version="1.0" encoding="utf-8"?>
<Properties xmlns="http://schemas.openxmlformats.org/officeDocument/2006/custom-properties" xmlns:vt="http://schemas.openxmlformats.org/officeDocument/2006/docPropsVTypes"/>
</file>