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janvārī (prot. Nr. 3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Attīstības sadarbības politikas plānu 2024.–2027.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Attīstības sadarbības politikas plānu 2024.–2027.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Ārlietu ministriju par atbildīgo institūciju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Atbildīgajām un līdzatbildīgajām institūcijām plānā paredzēto pasākumu īstenošanu 2024. gadā nodrošināt no šim nolūkam piešķirtajiem līdzekļiem. Jautājumu par papildu finansējumu plānā paredzēto pasākumu īstenošanai 2025. gadā un turpmākajos gados izskatīt Ministru kabinetā likumprojekta par valsts budžetu kārtējam gadam un vidēja termiņa budžeta ietvaru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kuriem valsts budžeta līdzekļu finansējums ir pietiekams.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23-TA-2635</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23-TA-2635</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rīkojuma_projekts_23-TA-2635.docx</dc:title>
</cp:coreProperties>
</file>

<file path=docProps/custom.xml><?xml version="1.0" encoding="utf-8"?>
<Properties xmlns="http://schemas.openxmlformats.org/officeDocument/2006/custom-properties" xmlns:vt="http://schemas.openxmlformats.org/officeDocument/2006/docPropsVTypes"/>
</file>