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un Šveices sadarbības programmas 2019.–2029. gada perioda līdzfinansētās programmas "Bērnu vēža aprūpes attīstība Latvijā"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un Šveices sadarbības programmas 2019.—2029. gada perioda vadības likuma 15. panta</w:t>
      </w:r>
      <w:r w:rsidR="00000000" w:rsidRPr="00000000" w:rsidDel="00000000">
        <w:rPr>
          <w:rStyle w:val="paragraph"/>
          <w:i w:val="1"/>
          <w:rtl w:val="0"/>
        </w:rPr>
        <w:t xml:space="preserve"> 12.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 Šveices sadarbības programmas 2019.–2029. gada perioda līdzfinansētās programmas "Bērnu vēža aprūpes attīstība Latvijā" (turpmāk – programma)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mērķi un sasniedzamos rezultātus;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apsaimniekotāju;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iepriekš noteiktā projekta (turpmāk – projekts) potenciālo īstenotāju;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līguma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komercdarbības atbalsta kontroles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apsaimniekotājs ir Veselības ministrija (turpmāk – programmas apsaimniekotājs).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īstenotājs ir valsts sabiedrība ar ierobežotu atbildību "Bērnu klīniskā universitātes slimnīca" (turpmāk – projekta īstenotājs).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ietvaros programmas apsaimniekotājs piešķir atbalstu projekta īstenotājam, pilda atbildīgās nozares ministrijas funkcijas un programmas apsaimniekotāja funkcijas, kā arī slēdz projekta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un projekta ieviešanas teritorija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finansējums atbilst pēc Eiropas Centrālās bankas publicētā </w:t>
      </w:r>
      <w:r w:rsidR="00000000" w:rsidRPr="00000000" w:rsidDel="00000000">
        <w:rPr>
          <w:i w:val="1"/>
          <w:rtl w:val="0"/>
        </w:rPr>
        <w:t xml:space="preserve">euro </w:t>
      </w:r>
      <w:r w:rsidR="00000000" w:rsidRPr="00000000" w:rsidDel="00000000">
        <w:rPr>
          <w:rtl w:val="0"/>
        </w:rPr>
        <w:t xml:space="preserve">atsauces kursa konvertētai summai, kas ir ekvivalenta 8 823 529 Šveices frankiem, tai skaitā Šveices finansiālais atbalsts – 85 % jeb 7 500 000 Šveices franki un valsts budžeta līdzfinansējums – 15 % jeb 1 323 529 Šveices franki. Programmas finansējuma ietvaros tiek plānots: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administrēšanai paredzētais finansējums – 532 116 Šveices franki, tai skaitā Šveices finansiālais atbalsts – 85 % jeb 452 299 Šveices franki un valsts budžeta līdzfinansējums – 15 % jeb 79 817 Šveices franki;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paredzētais finansējums – 8 291 413 Šveices franki, tai skaitā Šveices finansiālais atbalsts – 85 % jeb 7 047 701 Šveices franki un valsts budžeta līdzfinansējums – 15 % jeb 1 243 712 Šveices franki.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vadību, ko veic programmas apsaimniekotājs.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Programmas mērķis un sasniedzamie rezultāti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mērķis ir uzlabot diagnostiku, ārstēšanu un dzīves kvalitāti bērniem, kas slimo ar vēzi un retām slimībām vai ir tās pārslimojuši, nodrošinot aprūpes nepārtrauktību un uz pacientu orientētu daudzdisciplināru pieeju. Izmantojot vienotu pieeju, programma tiks īstenota vairākos stratēģiskos virzienos, tostarp: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kapacitātes stiprināšanā un uz pacientu orientētā aprūpē, lai sagatavotu medicīnisko personālu un stiprinātu uz pacientu orientētas iniciatīvas, kas ietver visu tās aprūpes nepārtrauktību, kura nepieciešama ar vēzi un retām slimībām slimojošiem bērniem;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klīniskās un laboratoriju kapacitātes stiprināšanā, aktīvi iesaistoties starptautiskajos klīniskajos pētniecības tīklos, lai uzlabotu diagnostikas un ārstēšanas protokolus;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sinerģijā ar projekta īstenotāja izveidoto Veselības aprūpes attīstības centru attīstot personalizētas ārstēšanas programmas un klīniskos ārstēšanas ceļus bērnu onkoloģijas un reto slimību jomā, īstenojot daudznozaru sadarbību starp ekspertiem un palielinot patoloģijas un molekulāro laboratoriju pakalpojumu spējas;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pēcārstēšanas uzraudzības sistēmas nodrošināšanā, izveidojot galveno uzraudzības komandu un pakalpojumus, tostarp atbilstoši labākajai starptautiskai praksei izstrādājot pielāgotu digitalizētu sistēmu.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ietvaros līdz 2029. gada 30. novembrim ir sasniedzami šādi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uzlabota bērnu onkoloģisko slimību un reto slimību ārstēšanas kvalitāte, pieejamība un sasniedzamība, veicinot patoloģijas un molekulāro diagnostikas laboratoriju attīstību, kā arī piedaloties starptautiskos bērnu onkoloģisko slimību ārstēšanas protokolos, klīniskajos pētījumos un starptautiskajos pētniecības tīklos;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paaugstināta veselības aprūpes profesionāļu un citu klīniskajā praksē, diagnostikā un pētniecībā iesaistīto speciālistu institucionālā un profesionālā kapacitāte;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uzlaboti ilgtermiņa veselības un izglītības rezultāti vēža pacientiem, izmantojot personalizētus un visaptverošus turpmākās aprūpes plānus;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uzlaboti pacientu iesaistes, pacientu pieredzes un ārstēšanas rezultāti.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ietvaros līdz 2029. gada 31. martam ir sasniedzami šādi rezultāti: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85 % pieaudzis piecu gadu dzīvildzes rādītājs bērnu onkoloģijas pacientiem, kas saņēmuši ārstēšanu saskaņā ar noteikto projektā iekļauto terapijas protokolu;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izveidots multidisciplinārs audzēja panelis (</w:t>
      </w:r>
      <w:r w:rsidR="00000000" w:rsidRPr="00000000" w:rsidDel="00000000">
        <w:rPr>
          <w:i w:val="1"/>
          <w:rtl w:val="0"/>
        </w:rPr>
        <w:t xml:space="preserve">tumor board</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četrām</w:t>
      </w:r>
      <w:r w:rsidR="00000000" w:rsidRPr="00000000" w:rsidDel="00000000">
        <w:rPr>
          <w:i w:val="1"/>
          <w:rtl w:val="0"/>
        </w:rPr>
        <w:t xml:space="preserve"> </w:t>
      </w:r>
      <w:r w:rsidR="00000000" w:rsidRPr="00000000" w:rsidDel="00000000">
        <w:rPr>
          <w:rtl w:val="0"/>
        </w:rPr>
        <w:t xml:space="preserve">specifiskām onkoloģiskās diagnozes grupām, nodrošinot, ka vismaz 70 % bērnu onkoloģisko slimību gadījumu tiek apspriesti šajā panelī;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izveidota klīnisko pētījumu vienība (</w:t>
      </w:r>
      <w:r w:rsidR="00000000" w:rsidRPr="00000000" w:rsidDel="00000000">
        <w:rPr>
          <w:i w:val="1"/>
          <w:rtl w:val="0"/>
        </w:rPr>
        <w:t xml:space="preserve">Clinical Trial Unit</w:t>
      </w:r>
      <w:r w:rsidR="00000000" w:rsidRPr="00000000" w:rsidDel="00000000">
        <w:rPr>
          <w:rtl w:val="0"/>
        </w:rPr>
        <w:t xml:space="preserve">) un trīs terapijas protokolu komandas (</w:t>
      </w:r>
      <w:r w:rsidR="00000000" w:rsidRPr="00000000" w:rsidDel="00000000">
        <w:rPr>
          <w:i w:val="1"/>
          <w:rtl w:val="0"/>
        </w:rPr>
        <w:t xml:space="preserve">Teraphy Protocol Team</w:t>
      </w:r>
      <w:r w:rsidR="00000000" w:rsidRPr="00000000" w:rsidDel="00000000">
        <w:rPr>
          <w:rtl w:val="0"/>
        </w:rPr>
        <w:t xml:space="preserve">), kas iesaistītas starptautiskos prospektīvos pētījumos noteiktām bērnu onkoloģijas diagnozēm, sasniedzot 50 % pacientu iesaistes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uzlabota patoloģijas un molekulārās diagnostikas laboratorijas kapacitāte, ieviešot jaunas metodes un veicot speciālistu apmācību, nodrošinot ātrāku un kvalitatīvāku diagnostiku, tai skaitā ieviešot digitālas patoloģijas tehnoloģijas, izveidojot pediatrisko biobanku un molekulārās diagnostikas genomikas datubāzi;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ieviesta jauna diagnostikas metode, kas balstīta garo ķēžu sekvencēšanā (</w:t>
      </w:r>
      <w:r w:rsidR="00000000" w:rsidRPr="00000000" w:rsidDel="00000000">
        <w:rPr>
          <w:i w:val="1"/>
          <w:rtl w:val="0"/>
        </w:rPr>
        <w:t xml:space="preserve">long-read sequencer</w:t>
      </w:r>
      <w:r w:rsidR="00000000" w:rsidRPr="00000000" w:rsidDel="00000000">
        <w:rPr>
          <w:rtl w:val="0"/>
        </w:rPr>
        <w:t xml:space="preserve">), uzlabojot iespējas diagnosticēt retās slimības gan bērnu onkoloģijā, gan citās reto slimību grupās;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izstrādāta un ieviesta pacienta ziņoto ārstēšanas rezultātu uzraudzības un novērtēšanas sistēma dzīves kvalitātes un labbūtības indikatoru mērīšanai bērnu onkoloģijas pacientiem, kas saņēmuši ārstēšanu un pēcārstēšanas novērošanu;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izstrādāta un ieviesta ārstēšanas un pēcārstēšanas rezultātu novērtēšanas sistēma, kas balstīta uz klīniskiem un citiem datiem, sniedzot iespējas novērtēt un pilnveidot izstrādātās ārstēšanas un pēcārstēšanas novērošanas sistēmas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īstenotas dažādu veidu un ilguma apmācību programmas 22 ārstniecības speciālistiem, kas iesaistīti bērnu onkoloģijas diagnostikā, ārstēšanā, īstermiņa un ilgtermiņa pēcārstēšanas uzraudzībā, kā arī pētniecībā;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izveidota un uzsākta ilgtermiņa pēcārstēšanas uzraudzības programma, kurā projekta īstenošanas laikā ir iesaistījušies 288 pacienti.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vadības un kontroles sistēmas izstrāde, īstenošana un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risku vadības sistēmas izstrāde, īstenošana un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komunikācijas plāna izstrāde, īstenošana un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vadības komitejas sanāksmju nodrošināšana, regulāro sanāksmju organizēšana ar projekta īstenotāju;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politikas dialoga tikšanās, pieredzes apmaiņas braucienu, programmas atklāšanas un noslēguma pasākumu, programmas tematiskās konferences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iepirkumu uzraudzības un audita pakalpojumu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komunikācijas un rezultātu izplatīšanas aktivitāšu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starptautiska sadarbība un zināšanu apmaiņa – iesaistīšanās starptautiskos pediatriskās onkoloģijas diagnostikas un ārstēšanas protokolos, klīnisko pētījumu vienību un starptautiskās pētniecības tīklos;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dažādu veidu apmācības, uzlabojot institucionālās un profesionālās spējas un kompetences, attiecīgo ārstniecības personu un citu klīniskajā praksē iesaistīto profesionāļu kapacitāti;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pacientu centrētas pieejas ieviešana un veselības aprūpes nepārtrauktības veicināšana, veidojot personalizētas un visaptverošas pēcārstēšanas aprūpes plānus un ieviešot pakalpojumu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kas saistītas ar pacientu iesaisti, lai uzlabotu pacientu apmierinātību ar nodrošinātajiem pakalpojumiem  veselības aprūpes iestādē, kā arī ar sniegto pakalpojumu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pieredzes apmaiņa un praksē balstītas mācību aktivitātes, lai veicinātu noteiktu prasmju apguvi ārstniecības personām, kas iesaistītas pediatrisko onkoloģijas pacientu aprūpē. Teorētiskas apmācības un nodarbības var tikt nodrošinātas kā papildinošas aktivitātes;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un cita veida aprīkojuma (tai skaitā palīgmateriālu, reaģentu, specializētu darba vietu aprīkojuma) iegāde diagnostikas laboratorijas attīstībai patoloģijas un molekulārās diagnostikas jomā saskaņā ar projekta līgumu;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kontroles nodrošināšana atbilstoši projekta līgumam.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Programmas ietvaros attiecināmas ir izmaksas, kas ir pamatotas un radušās saistībā ar Programmas ieviešanu, administrēšanu, vadību un uzraudzību un kas nepārsniedz 10 % no programmas kopējā finansējuma: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vadības un funkciju nodrošināšanas (komunikācijas, finansista, jurista, iepirkumu speciālista u. c.) un tulkošanas pakalpojumu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pārbaužu, izvērtējumu nodrošināšanas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pasākumu un komunikācijas un reprezentācijas materiālu un rezultātu izplatīšanas pakalpojumu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(t. sk. ārvalstu)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semināru, pasākumu (t. sk. programmas vadības komitejas sanāksmju un politisko dialogu), pieredzes apmaiņas braucienu un komandējumu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izmaksas, ja tās ir noteiktas programmas līgumā vai ir saskaņotas ar donorvalsti.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attiecināmas ir izmaksas, kas ir pamatotas un radušās saistībā ar bērnu onkoloģisko un reto slimību aprūpes attīstību Latvijā: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funkciju nodrošināšanas (projekta vadītāja, komunikācijas, finansista, jurista, iepirkumu speciālista, IT speciālista u. c.) un tulkošanas pakalpojumu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personāla nodrošināšanas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pasākumu un komunikācijas un reprezentācijas materiālu un rezultātu izplatīšanas pakalpojumu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pakalpojumu nodrošināšanas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iekārtu, materiālu un cita tehniskā aprīkojuma un ar tā iegādi saistītās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(t. sk. ārvalstu)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Šveices partneru izdevumi projekta aktivitāšu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apmācību, semināru, pasākumu, komiteju, mācību un pieredzes apmaiņas braucienu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izmaksas, ja tās ir noteiktas projekta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Ir atbalstāmas programmas un projekta īstenošanas personāla atlīdzības izmaksas, kas radušās programmas un projekta īstenošanas laikā uz darba līguma vai uzņēmuma (pakalpojuma) līguma pamata, tai skaitā normatīvajos aktos noteiktās valsts un pašvaldību institūciju amatpersonu un darbinieku atlīdzības izmaksas, kā arī nodokļu politikas jomā noteiktās piemaksas un nodokļi.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Programmas un projekta īstenošanas izmaksas nepārsniedz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programmas un valsts finansējuma kopējo summu.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Programmas izmaksas ir attiecināmas, ja tās atbilst šajos noteikumos minētajām izmaksu pozīcijām, ir radušās no 2024. gada 1.  septembra līdz 2029. gada 3. decembrim, ir pamatotas ar izdevumus pamatojošiem dokumentiem un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samērīgas un nepieciešamas programmas īstenošanai un mērķa sasniegšanai, kā arī tās ir iekļautas apstiprinātajā programmas budžetā;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veiktas, ievērojot izmaksu lietderības, ekonomiskuma un efektivitātes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preču un pakalpojumu iegāde ir īstenota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atsevišķa datorizēta grāmatvedības uzskaite par finansējuma izlietojumu programmā, nodalot programmas ietvaros veiktās izmaksas no pārējām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ir norādītas programmas maksājumu pieprasījumā.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saskaņā ar projekta līgumu, bet ne ilgāk kā līdz 2029. gada 31. martam. Programmas apsaimniekotājs var ierosināt programmas vadības komitejā lemt par projekta izmaksu attiecināmības termiņa pagarinājumu, nepārsniedzot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 izmaksu attiecināmības termiņu (piemēram, pastāv objektīvi apstākļi, kuru dēļ nav iespējams realizēt kādu no projekta aktivitātēm).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ir radušās no 2024. gada 1. oktobra līdz 2029. gada 31. martam, ir pamatotas ar izdevumus pamatojošiem dokumentiem un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samērīgas un nepieciešamas projekta īstenošanai un mērķa sasniegšanai, kā arī tās ir iekļautas apstiprinātajā projekta budžetā;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veiktas, ievērojot izmaksu lietderības, ekonomiskuma un efektivitātes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preču un pakalpojumu iegāde ir īstenota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atsevišķa datorizēta grāmatvedības uzskaite par finansējuma izlietojumu projektā, nodalot projekta ietvaros veiktās izmaksas no pārējām izmaksām, kā arī iekšējā grāmatvedības uzskaitē atsevišķi norādītas izmaksas un ieņēmumi, kas saistīti ar pakalpojumu ar vispārēju tautsaimniecisku nozīmi, un izmaksas un ieņēmumi par citiem pakalpojumiem, kā arī izmaksu un ieņēmumu iedalīšanas parametri;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ir norādītas projekta pārskatā un ir pamatotas ar izdevumus pamatojošiem dokumentiem.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Programmā un projektā nav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parāda procenti, maksa par aizdevuma apkalpošanu un nokavējuma nauda;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finanšu darījumiem un citas tīri finansiālas izmaksas, izņemot izmaksas, kas saistītas ar kontiem, kurus pieprasa Finanšu ministrija vai maksājumu iestāde vai kuri noteikti programmas līgumā, vai projekta līgumā noteikto finanšu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uzkrājumi zaudējumu segšanai vai iespējamo paredzamo saistību izpildei;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zaudējumi, kas radušies valūtas kursa svārstību dēļ, izņemot tos, kas radušies Šveices partneru iesaistes dēļ;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izdevumi par zemes iegādi;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pievienotās vērtības nodoklis, ja tas ir atgūstams saskaņā ar normatīvajiem aktiem nodokļu politikas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ko sedz no citiem avotiem;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naudas sodi, citi sodi saistībā ar atlīdzību vai citu kompensāciju, tostarp zaudētu peļņu, un tiesāšanās izdevumi, izņemot gadījumus, kad tiesvedība ir neatņemams un nepieciešams komponents atbalsta pasākuma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pārmērīgi vai nepamatoti izdevumi.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līgumā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un projekta īstenošanas uzraudzības kārtība un atbildības sadalījums;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kārtība, kādā tiek iesniegti maksājuma pieprasījumi un veikti maksājumi;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plāna iesniegšanas kārtība;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kopums, kas apliecina projekta rezultātu sasniegšanu;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pārskatu iesniegšanas termiņi, lai uzraudzītu projekta ieviešanas progresu un nodrošinātu datu pieejamību un to apstrādi atbilstoši normatīvajiem aktiem par programmas  īstenošanas un uzraudzības kārtību;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interešu konflikta, korupcijas un krāpšanas, kā arī dubultā finansējuma novēršanas nosacījumi. Ja minētie nosacījumi netiek ievēroti, pret projekta īstenotāju piemēro attiecīgas korektīvās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ar programmas un projekta mērķu sasniegšanu saistīti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kārtība, kādos gadījumos tiek veikti grozījumi projekta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mērķa sasniegšanu apliecina: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regulāro pārskatu iesniegšana programmas apsaimniekotājam ne retāk kā vienu reizi gadā (saskaņā ar projekta līgumā noteiktajiem termiņiem) par projekta ietvaros veiktajām aktivitātēm un sasniegtajiem rezultātiem;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sasniegto rezultātu tabulas "Logframe" aktualizēšana vienu reizi kalendāra gadā un tās iesniegšana programmas apsaimniekotājam kopā ar regulāro pārskatu.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Programmas apsaimniekotājs apstiprina šo noteikumu </w:t>
      </w:r>
      <w:r w:rsidR="00000000" w:rsidRPr="00000000" w:rsidDel="00000000">
        <w:rPr>
          <w:rtl w:val="0"/>
        </w:rPr>
        <w:t xml:space="preserve">9.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programmas un projekta rezultātu sasniegšanu un izmaksu pamatotību, ņemot vērā programmas apsaimniekotāja piesaistītā neatkarīgā revidenta vai iekšējā auditora ziņojumu par saskaņoto procedūru veikšanu, par projekta darbību un noteikto rezultātu  sasniegšanu, par interešu konflikta, korupcijas un krāpšanas novēršanas nosacījumu  ievērošanu un dubultā finansējuma riska neesību.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un ārvalstu finanšu atbalsta instrumentiem;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projektā plānoto darbu demarkāciju ar citu valsts un ārvalstu finanšu atbalsta instrumentu investīcijām dubultā finansējuma riska mazināšanai;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programmas apsaimniekotāju par aktuālajām izmaiņām projekta budžetā, ja nepieciešams, ierosinot veikt grozījumus projekta līgumā;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sedz projekta sadārdzinājumu no saviem līdzekļiem, ja projekta izmaksas pieaug, nodrošinot piemērojamo komercdarbības atbalsta regulējuma normu ievērošanu,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projekta izmaksu, tai skaitā pievienotās vērtības nodokļa izmaksu, uzskaiti un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Programmas apsaimniekotājam ir tiesības vienpusēji atkāpties no noslēgtā projekta līguma jebkurā no šādiem gadījumiem: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īstenotājs nepilda līgumu par projekta īstenošanu, tai skaitā netiek ievēroti projektā noteiktie termiņi vai ir iestājušies citi apstākļi, kas negatīvi ietekmē vai var ietekmēt programmas vai projekta rezultātu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īstenotājs ir apzināti sniedzis nepatiesu informāciju;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kas paredzēti projekta līgumā.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kontroles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Programmas apsaimniekotājs komercdarbības atbalstu projekta īstenotājam piešķir atbilstoši šīs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īstenotājs atbilstoši normatīvajiem aktiem par veselības aprūpes organizēšanu un samaksu ir noslēdzis ar Nacionālo veselības dienestu (turpmāk – pilnvarojuma uzlicējs) deleģēšanas līgumu par vispārējas tautsaimnieciskas nozīmes pakalpojuma (turpmāk – sabiedriskie pakalpojumi) sniegšanu. Līgumā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nepieciešamo sabiedrisko pakalpojumu sniegšanas infrastruktūru;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piešķirto ekskluzīvo vai īpašo tiesību būtību, ja tas sniedz pakalpojumu ar vispārēju tautsaimniecisku nozīmi;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īstenotājs projektam pievieno vispārējas tautsaimnieciskas nozīmes pakalpojuma sniegšanas pilnvarojuma uzlicēja apliecinājumu, ka tas kontrolēs un pārskatīs šo noteikumu </w:t>
      </w:r>
      <w:r w:rsidR="00000000" w:rsidRPr="00000000" w:rsidDel="00000000">
        <w:rPr>
          <w:rtl w:val="0"/>
        </w:rPr>
        <w:t xml:space="preserve">27.6. </w:t>
      </w:r>
      <w:r w:rsidR="00000000" w:rsidRPr="00000000" w:rsidDel="00000000">
        <w:rPr>
          <w:rtl w:val="0"/>
        </w:rPr>
        <w:t xml:space="preserve">apakšpunktā</w:t>
      </w:r>
      <w:r w:rsidR="00000000" w:rsidRPr="00000000" w:rsidDel="00000000">
        <w:rPr>
          <w:rtl w:val="0"/>
        </w:rPr>
        <w:t xml:space="preserve">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tiek pārkāptas šajos noteikumos minētās komercdarbības atbalsta piešķiršanas prasības vispārējas tautsaimnieciskas nozīmes pakalpojuma sniegšanai, projekta īstenotājam ir pienākums atmaksāt programmas apsaimniekotājam visu projekta ietvaros saņemto nelikumīgo komercdarbības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Pilnvarojuma uzlicējam un projekta īstenotājam ir pienākums dokumentāciju par saņemto komercdarbības atbalstu glabāt 10 gadus no pilnvarojuma termiņa beigām, savukārt programmas apsaimniekotājam ir pienākums dokumentāciju, kas saistīta ar komercdarbības atbalsta piešķiršanu, glabāt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komercdarbības atbalsta piešķiršanas dienu ir uzskatāma programmas apsaimniekotāja un projekta īstenotāja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projekta līguma noslēgšanas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Komercdarbības atbalstu drīkst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minēto atbalstāmo darbību un šo noteikumu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minēto attiecināmo izmaksu pozīcijām projekta īstenotājs aprēķina infrastruktūras izmantošanas proporciju un piemēro to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minētajam projekta kopējam attiecināmajam finansējumam, kas attiecas uz vispārējas tautsaimnieciskas nozīmes pakalpojumu mērķi, nosakot publiskā finansējuma (Šveices finansiālā atbalsta un valsts budžeta līdzfinansējuma)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kopējo publisko izmaksu maksimālo apmēru nosaka, izmantojot šādu formulu: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276475" cy="85725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2276475" cy="857250"/>
                    </a:xfrm>
                    <a:prstGeom prst="rect"/>
                    <a:ln/>
                  </pic:spPr>
                </pic:pic>
              </a:graphicData>
            </a:graphic>
          </wp:inline>
        </w:drawing>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 x</w:t>
      </w:r>
      <w:r w:rsidR="00000000" w:rsidRPr="00000000" w:rsidDel="00000000">
        <w:rPr>
          <w:b w:val="1"/>
          <w:rtl w:val="0"/>
        </w:rPr>
        <w:t xml:space="preserve"> </w:t>
      </w:r>
      <w:r w:rsidR="00000000" w:rsidRPr="00000000" w:rsidDel="00000000">
        <w:rPr>
          <w:rtl w:val="0"/>
        </w:rPr>
        <w:t xml:space="preserve">– gadu skaits, kuriem tika aprēķināts projekta publisko izmaksu maksimālais apmērs;</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I</w:t>
      </w:r>
      <w:r w:rsidR="00000000" w:rsidRPr="00000000" w:rsidDel="00000000">
        <w:rPr>
          <w:b w:val="1"/>
          <w:i w:val="1"/>
          <w:vertAlign w:val="subscript"/>
          <w:rtl w:val="0"/>
        </w:rPr>
        <w:t xml:space="preserve">publ</w:t>
      </w:r>
      <w:r w:rsidR="00000000" w:rsidRPr="00000000" w:rsidDel="00000000">
        <w:rPr>
          <w:b w:val="1"/>
          <w:vertAlign w:val="subscript"/>
          <w:rtl w:val="0"/>
        </w:rPr>
        <w:t xml:space="preserve"> </w:t>
      </w:r>
      <w:r w:rsidR="00000000" w:rsidRPr="00000000" w:rsidDel="00000000">
        <w:rPr>
          <w:rtl w:val="0"/>
        </w:rPr>
        <w:t xml:space="preserve">– attiecīgā gada publisko izmaksu maksimālais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gada publisko izmaksu maksimālo apmēru nosaka, izmantojot šādu formulu: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333625" cy="847725"/>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2333625" cy="847725"/>
                    </a:xfrm>
                    <a:prstGeom prst="rect"/>
                    <a:ln/>
                  </pic:spPr>
                </pic:pic>
              </a:graphicData>
            </a:graphic>
          </wp:inline>
        </w:drawing>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y</w:t>
      </w:r>
      <w:r w:rsidR="00000000" w:rsidRPr="00000000" w:rsidDel="00000000">
        <w:rPr>
          <w:rtl w:val="0"/>
        </w:rPr>
        <w:t xml:space="preserve"> – attiecīgā projekta ietvaros veicamo atbalstāmo darbību skaits;</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S</w:t>
      </w:r>
      <w:r w:rsidR="00000000" w:rsidRPr="00000000" w:rsidDel="00000000">
        <w:rPr>
          <w:b w:val="1"/>
          <w:rtl w:val="0"/>
        </w:rPr>
        <w:t xml:space="preserve"> </w:t>
      </w:r>
      <w:r w:rsidR="00000000" w:rsidRPr="00000000" w:rsidDel="00000000">
        <w:rPr>
          <w:rtl w:val="0"/>
        </w:rPr>
        <w:t xml:space="preserve">– attiecīgās atbalstāmās darbības kopējās izmaksas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L</w:t>
      </w:r>
      <w:r w:rsidR="00000000" w:rsidRPr="00000000" w:rsidDel="00000000">
        <w:rPr>
          <w:b w:val="1"/>
          <w:i w:val="1"/>
          <w:vertAlign w:val="subscript"/>
          <w:rtl w:val="0"/>
        </w:rPr>
        <w:t xml:space="preserve">v</w:t>
      </w:r>
      <w:r w:rsidR="00000000" w:rsidRPr="00000000" w:rsidDel="00000000">
        <w:rPr>
          <w:rtl w:val="0"/>
        </w:rPr>
        <w:t xml:space="preserve"> – uz attiecīgo atbalstāmo darbību attiecināmās infrastruktūras izmantošanas laiks valsts apmaksāto veselības aprūpes pakalpojumu sniegšanai (stundas gadā);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b w:val="1"/>
          <w:i w:val="1"/>
          <w:rtl w:val="0"/>
        </w:rPr>
        <w:t xml:space="preserve">L</w:t>
      </w:r>
      <w:r w:rsidR="00000000" w:rsidRPr="00000000" w:rsidDel="00000000">
        <w:rPr>
          <w:b w:val="1"/>
          <w:i w:val="1"/>
          <w:vertAlign w:val="subscript"/>
          <w:rtl w:val="0"/>
        </w:rPr>
        <w:t xml:space="preserve">m</w:t>
      </w:r>
      <w:r w:rsidR="00000000" w:rsidRPr="00000000" w:rsidDel="00000000">
        <w:rPr>
          <w:rtl w:val="0"/>
        </w:rPr>
        <w:t xml:space="preserve"> – uz attiecīgo atbalstāmo darbību attiecināmās infrastruktūras izmantošanas laiks citu darbību veikšanai (stundas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īstenotājs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īstenotājs infrastruktūras izmantošanas proporcijas aprēķinu iesniedz programmas apsaimniekotājam: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projekta līguma noslēgšanas;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kopā ar noslēguma maksājuma pieprasījumu.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pēc projekta līguma noslēgšanas palielinās projekta publisko izmaksu maksimālais apmērs, kas aprēķināts saskaņā ar šo noteikumu </w:t>
      </w:r>
      <w:r w:rsidR="00000000" w:rsidRPr="00000000" w:rsidDel="00000000">
        <w:rPr>
          <w:rtl w:val="0"/>
        </w:rPr>
        <w:t xml:space="preserve">33.1. </w:t>
      </w:r>
      <w:r w:rsidR="00000000" w:rsidRPr="00000000" w:rsidDel="00000000">
        <w:rPr>
          <w:rtl w:val="0"/>
        </w:rPr>
        <w:t xml:space="preserve">apakšpunktu</w:t>
      </w:r>
      <w:r w:rsidR="00000000" w:rsidRPr="00000000" w:rsidDel="00000000">
        <w:rPr>
          <w:rtl w:val="0"/>
        </w:rPr>
        <w:t xml:space="preserve">, programmas apsaimniekotājs kopējās publiskās projekta attiecināmās izmaksas nepalielina.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īstenotājs, iesniedzot noslēguma maksājuma pieprasījumu, nodrošina, ka saskaņā ar šo noteikumu </w:t>
      </w:r>
      <w:r w:rsidR="00000000" w:rsidRPr="00000000" w:rsidDel="00000000">
        <w:rPr>
          <w:rtl w:val="0"/>
        </w:rPr>
        <w:t xml:space="preserve">33.1. </w:t>
      </w:r>
      <w:r w:rsidR="00000000" w:rsidRPr="00000000" w:rsidDel="00000000">
        <w:rPr>
          <w:rtl w:val="0"/>
        </w:rPr>
        <w:t xml:space="preserve">apakšpunktu</w:t>
      </w:r>
      <w:r w:rsidR="00000000" w:rsidRPr="00000000" w:rsidDel="00000000">
        <w:rPr>
          <w:rtl w:val="0"/>
        </w:rPr>
        <w:t xml:space="preserve"> aprēķinātais projekta kopējais publisko izmaksu maksimālais apmērs atbilst piešķirtajam projekta kopējam publisko izmaksu maksimālajam apmēram, attiecīgi palielinot projekta īstenotāja privātā finansējuma apjomu.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Programmas apsaimniekotāja pienākumi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Programmas apsaimniekotājs pēc projekta īstenotāja pieprasījuma saņemšanas nodrošina priekšfinansējuma un līdzfinansējuma pieprasīšanu kārtējam gadam atbilstoši gadskārtējā valsts budžeta likumā noteikto apropriācijas izmaiņu veikšanu reglamentējošajiem normatīvajiem aktiem.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Programmas apsaimniekotājs vismaz vienu reizi gadā organizē programmas Vadības komitejas klātienes sanāksmi saskaņā ar programmas apsaimniekotāja izstrādātu reglamentu, kurā programmas apsaimniekotājs un projekta īstenotājs informē par projekta virzību, aktualitātēm un sasniegtajiem rezultātiem.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24-TA-2790</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24-TA-2790</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noteikumu_projekts_24-TA-2790.docx</dc:title>
</cp:coreProperties>
</file>

<file path=docProps/custom.xml><?xml version="1.0" encoding="utf-8"?>
<Properties xmlns="http://schemas.openxmlformats.org/officeDocument/2006/custom-properties" xmlns:vt="http://schemas.openxmlformats.org/officeDocument/2006/docPropsVTypes"/>
</file>