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br/>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 </w:t>
      </w:r>
      <w:r w:rsidR="00000000" w:rsidRPr="00000000" w:rsidDel="00000000">
        <w:rPr>
          <w:rStyle w:val="paragraph"/>
          <w:i w:val="1"/>
          <w:rtl w:val="0"/>
        </w:rPr>
        <w:t xml:space="preserve">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 prioritārā virziena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5.1.1.4. pasākumu „Viedās pašvaldības” (turpmāk – pasākums);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Eiropas Reģionālās attīstības fonda (turpmāk – ERAF)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ERAF projekta (turpmāk – projekts) iesniedzējam un projekta sadarbības partnerim;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 Latvijas Republikas teritorijā.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veicināt viedo pašvaldību attīstību, stimulējot pašvaldības ieviest viedos risinājumus un jaunas tehnoloģijas pašvaldību autonomo funkciju un pārvaldes uzdevumu izpildes nodrošināšanā, uzlabojot minēto funkciju un uzdevumu ietvaros sniegto pakalpojumu kvalitāti, lai samazinātu pašvaldību izmaksas par pakalpojumu sniegšanu un modernizētu to sniegšanas veidu.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“Viedā pašvaldība” šo noteikumu izpratnē ir Latvijas Republikas funkcionālās pilsētvides vienība, kas īsteno stratēģisku pasākumu kopumu savu autonomo funkciju veikšanai un tajos paredzēto pakalpojumu efektivitātes palielināšanai, tās ilgtspējas uzlabošanai un ekonomiskās attīstības veicināšanai,  uzlabojot sabiedrības informētību un veicinot pašvaldības teritorijā dzīvojošo un strādājošo personu labklājību, izmantojot viedos risinājumus, tai skaitā informācijas un komunikācijas tehnoloģijas.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Viedais risinājums šo noteikumu izpratnē ir inovatīvs risinājums vai tehnoloģija jeb procesa, pakalpojuma vai produkta inovācija, kas līdz 2023. gada 1. janvārim nav ieviests vai piemērots Latvijā pašvaldību darbības jomā vienā vai vairākās pašvaldībās un par kuru ir saņemts Latvijas Zinātnes padomes ekspertu komisijas atzinums, ka projektā paredzētais risinājums ir vērtējams kā jauns un iepriekš pašvaldībā neīstenots risinājums.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mērķa grupa ir pašvaldības un iedzīvotāji, kas izmanto pašvaldību sniegtos pakalpojumus.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līdz 2029. gada 31. decembrim, sasniedzot šādus pasākuma rezultātus: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atbalstītas piecas integrētas teritoriālās attīstības stratēģijas;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iznākuma rādītājs – attīstīti vismaz pieci viedi risinājumi pašvaldību autonomo funkciju īstenošanā un pašvaldību pakalpojumu nodrošināšanā;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rezultāta rādītājs – vismaz piecās pašvaldībās par vismaz 10 procentiem samazināts enerģijas patēriņš vai pakalpojuma izmaksas uz vienu klientu projekta īstenošanas jomā.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rādītāju vērtības sasniegšanas progresu uzrauga atbildīgā iestāde un sadarbības iestāde. Ja finansējuma saņēmējs projekta rezultāta rādītāja vērtību sasniedz, sadarbības iestāde turpmāko projekta rezultāta rādītāja izpildes kontroli neveic.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noteiktais iznākuma rādītājs ir sasniegts, ja apstiprināta rādītāju sasniegšana vismaz vienā projektā, kas īstenots specifiskā atbalsta mērķa ietvaros, balstoties uz integrēto teritorijas attīstības stratēģiju – plānošanas reģiona attīstības programmu un tai pakārtotu vietējās pašvaldības attīstības programmu.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minētais nacionālais iznākuma rādītājs ir sasniegts, ja projektu īstenošanas rezultātā vismaz piecās pašvaldībās ieviests vismaz viens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minētais viedais risinājums.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minētais nacionālais rezultāta rādītājs ir sasniegts, ja projektu īstenošanas rezultātā vismaz piecās pašvaldībās par vismaz 10 procentiem samazinātas finansējuma saņēmēja un sadarbības partnera (ja attiecināms) pakalpojuma izmaksas (</w:t>
      </w:r>
      <w:r w:rsidR="00000000" w:rsidRPr="00000000" w:rsidDel="00000000">
        <w:rPr>
          <w:i w:val="1"/>
          <w:rtl w:val="0"/>
        </w:rPr>
        <w:t xml:space="preserve">euro</w:t>
      </w:r>
      <w:r w:rsidR="00000000" w:rsidRPr="00000000" w:rsidDel="00000000">
        <w:rPr>
          <w:rtl w:val="0"/>
        </w:rPr>
        <w:t xml:space="preserve">) uz vienu klientu projekta īstenošanas jomā vai enerģijas patēriņš (megavatstundas) salīdzinājumā ar trīs gadu periodu pirms projekta īstenošanas. Rādītāja vērtība ir attiecināma, ja tā radusies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projektā plāno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pakalpojuma izmaksu vai enerģijas patēriņa samazinājumu par vismaz 10 procentiem. Ja projekta iesniedzējs projekta īstenošanā piesaista vienu vai vairākus sadarbības partnerus, tad plāno pakalpojuma izmaksu (</w:t>
      </w:r>
      <w:r w:rsidR="00000000" w:rsidRPr="00000000" w:rsidDel="00000000">
        <w:rPr>
          <w:i w:val="1"/>
          <w:rtl w:val="0"/>
        </w:rPr>
        <w:t xml:space="preserve">euro</w:t>
      </w:r>
      <w:r w:rsidR="00000000" w:rsidRPr="00000000" w:rsidDel="00000000">
        <w:rPr>
          <w:rtl w:val="0"/>
        </w:rPr>
        <w:t xml:space="preserve">) samazinājumu uz vienu klientu projekta īstenošanas jomā vai enerģijas patēriņa (megavatstundās) samazinājumu par vismaz 10 procentiem katram no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minētajiem sadarbības partneriem.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plānotais finansējums ir ne mazāks kā 18 270 000 </w:t>
      </w:r>
      <w:r w:rsidR="00000000" w:rsidRPr="00000000" w:rsidDel="00000000">
        <w:rPr>
          <w:i w:val="1"/>
          <w:rtl w:val="0"/>
        </w:rPr>
        <w:t xml:space="preserve">euro</w:t>
      </w:r>
      <w:r w:rsidR="00000000" w:rsidRPr="00000000" w:rsidDel="00000000">
        <w:rPr>
          <w:rtl w:val="0"/>
        </w:rPr>
        <w:t xml:space="preserve">, tai skaitā ERAF finansējums – 15 529 500 </w:t>
      </w:r>
      <w:r w:rsidR="00000000" w:rsidRPr="00000000" w:rsidDel="00000000">
        <w:rPr>
          <w:i w:val="1"/>
          <w:rtl w:val="0"/>
        </w:rPr>
        <w:t xml:space="preserve">euro </w:t>
      </w:r>
      <w:r w:rsidR="00000000" w:rsidRPr="00000000" w:rsidDel="00000000">
        <w:rPr>
          <w:rtl w:val="0"/>
        </w:rPr>
        <w:t xml:space="preserve">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ERAF finansējumu pasākuma ietvaros piešķir granta veidā.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intensitāte nepārsniedz 85 procentus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ERAF un pašvaldību budžeta finansējuma kopsummas.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minimālais kopējais attiecināmo izmaksu apmērs nav mazāks par 200 000 </w:t>
      </w:r>
      <w:r w:rsidR="00000000" w:rsidRPr="00000000" w:rsidDel="00000000">
        <w:rPr>
          <w:i w:val="1"/>
          <w:rtl w:val="0"/>
        </w:rPr>
        <w:t xml:space="preserve">euro</w:t>
      </w:r>
      <w:r w:rsidR="00000000" w:rsidRPr="00000000" w:rsidDel="00000000">
        <w:rPr>
          <w:rtl w:val="0"/>
        </w:rPr>
        <w:t xml:space="preserve">, un projektam pieejamais maksimālais ERAF finansējums ir 3 105 900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Katram plānošanas reģionam ierobežotas projektu iesniegumu atlases sākumā pieejamais ERAF finansējums nepārsniedz 3 105 900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Neizmantoto ierobežotas projektu iesniegumu atlases finansējumu un finansējumu, kas atbrīvojies projektu īstenošanas rezultātā, novirza secīgi nākamā kvalitatīvā projekta atbalstīšanai vai, ja projekta iesniedzējs atsakās īstenot projektu ar samazinātu ERAF finansējumu, neizmantoto finansējumu izmanto, lai atbalstītu nākamo projekta iesniegumu ar augstāko vērtējumu saskaņā ar kvalitātes kritērijiem.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netiek paredzēts valsts atbalsts komercdarbībai, un sadarbība ar komersantiem tiek veidota tikai nacionālajos normatīvajos aktos publiskā iepirkuma jomā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un 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pasākuma ietvaros ir pašvaldība, pašvaldības izveidota iestāde vai pašvaldības kapitālsabiedrība, kas veic pašvaldības deleģēto pārvaldes uzdevumu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izveidotu iestādi;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kapitālsabiedrību, kas veic pašvaldības deleģēto pārvaldes uzdevumu izpildi;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zinātnisko institūciju.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kopīgajā sadarbības projekta iesniegumā pamato projekta ietvaros plānotās partnerības nepieciešamību.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projekta ietvaros veic iepirkumu normatīvajos aktos par publisko iepirkumu inovāciju jomā noteiktajā kārtībā vai piesaista sadarbības partneri, kas ir zinātniskā institūcija, kas projektā veic pētniecības un attīstības uzdevumu izpildi.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projektā plānots izveidot vai attīstīt informācijas un komunikācijas tehnoloģiju risinājumu, projekta iesniedzējs nodrošina, ka informācijas un komunikācijas tehnoloģiju  risinājuma izveidošana vai attīstība atbilst normatīvajiem aktiem par Valsts informācijas sistēmu vai institūcijas informācijas sistēmu un to darbībai nepieciešamo informācijas un komunikācijas tehnoloģiju resursu un pakalpojumu attīstību un likvidēšanu, kā arī valsts informācijas sistēmu vai institūcijas informācijas sistēmu vispārējām tehniskajām un drošības prasībām.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sadarbības partneris projekta ietvaros ir zinātniskā institūcija, tad zinātniskā institūcija: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īsteno ar saimniecisku darbību nesaistītas aktivitātes, vai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pakalpojumu veikšanai tiek piesaistīta kā asociētais partneris bez sava budžeta projekta ietvaros, un finansējuma saņēmējs sedz ar projekta īstenošanu saistītos izdevumus.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sagatavo projekta iesniegumu atbilstoši šajos noteikumos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Projektā  norāda pašvaldības  un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minēto sadarbības partneru (ja attiecināms) sniegto pakalpojumu izmaksu samazinājumu (</w:t>
      </w:r>
      <w:r w:rsidR="00000000" w:rsidRPr="00000000" w:rsidDel="00000000">
        <w:rPr>
          <w:i w:val="1"/>
          <w:rtl w:val="0"/>
        </w:rPr>
        <w:t xml:space="preserve">euro</w:t>
      </w:r>
      <w:r w:rsidR="00000000" w:rsidRPr="00000000" w:rsidDel="00000000">
        <w:rPr>
          <w:rtl w:val="0"/>
        </w:rPr>
        <w:t xml:space="preserve">) uz vienu klientu vai enerģijas patēriņa samazinājumu (megatavstundās), kuru paredzēts sasniegt projekta īstenošanas rezultātā.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iesniedzējs pasākuma ietvaros iesniedz ne vairāk kā vienu projekta iesniegumu.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noteikto rādītāju sasniegšanu: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 risinājuma attīstīšana un ieviešana pašvaldības autonomo funkciju un no tām izrietošo pārvaldes uzdevumu izpildē;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ieviešanai nepieciešamās infrastruktūras attīstīšana;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pasākumi par projekta īstenošanu;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ietverot investīcijas publiskajā infrastruktūrā, kas ir projekta iesniedzēja īpašumā vai turējumā, un vienlaikus sekmē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mērķa sasniegšanu.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 mērķa sasniegšanu.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 tai skaitā: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pamatojošās dokumentācijas sagatavošanas izmaksas, nepārsniedzot piecus procentus no projekta kopējām attiecināmajām izmaksām,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sastāva, apliecinājuma kartes, paziņojuma par būvniecību vai paskaidrojuma raksta izstrāde projektā paredzētajām darbībām;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izpētes izmaksas, ja to veikšana ir priekšnosacījums būvprojekta, būvdarbu ieceres dokumentācijas vai būvprojekta minimālā sastāvā izstrādei;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ietekmes uz vidi izvērtējuma veikšanas izmaksas, ja attiecināms;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Zinātnes padomes ekspertīzes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zinātniski pētnieciskās darbības izmaksas, kas nepieciešamas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minētā viedā risinājuma izstrādei,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minētā sadarbības partnera projekta īstenošanas personāla atlīdzības izmaksas, ievērojot šo noteikumu </w:t>
      </w:r>
      <w:r w:rsidR="00000000" w:rsidRPr="00000000" w:rsidDel="00000000">
        <w:rPr>
          <w:rtl w:val="0"/>
        </w:rPr>
        <w:t xml:space="preserve">36.7. </w:t>
      </w:r>
      <w:r w:rsidR="00000000" w:rsidRPr="00000000" w:rsidDel="00000000">
        <w:rPr>
          <w:rtl w:val="0"/>
        </w:rPr>
        <w:t xml:space="preserve">apakšpunktā</w:t>
      </w:r>
      <w:r w:rsidR="00000000" w:rsidRPr="00000000" w:rsidDel="00000000">
        <w:rPr>
          <w:rtl w:val="0"/>
        </w:rPr>
        <w:t xml:space="preserve">  minētos ierobežojumus;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instrumentu, iekārtu un to aprīkojuma iegādes, piegādes, uzstādīšanas vai nomas izmaksas, ievērojot saimnieciskā izdevīguma principu;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datorprogrammu licenču iegādes vai tehniskās nomas izmaksas, ievērojot saimnieciskā izdevīguma principu;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materiālu (piemēram, fizikālie, bioloģiskie, ķīmiskie un citi materiāli) iegādes un piegādes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 risinājuma, kas tieši saistīts ar pašvaldības risināmo problēmu, iegādes un uzstādīšanas, tai skaitā ieregulēšanas un testēšanas,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digitalizācijas un informācijas pārvaldības pakalpojumu iegādes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analogo datu digitalizācijas un datu importa un migrācijas veikšanas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un informācijas sistēmas iegādes, izstrādes, uzstādīšanas, konfigurācijas un uzturēšanas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izmaksas, kas ir tieši saistītas ar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minētā viedā risinājuma attīstīšanu vai nepieciešamas viedā risinājuma ieviešanai produktīvajā darbībā,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būvmateriālu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pakalpojumu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autoruzraudzības un būvdarbu būvuzraudzības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būvobjekta nodošanas ekspluatācijā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publicitātes pasākumu izmaksas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personāla izmaksas, kuras saskaņā ar Komisijas regulas Nr. 1303/2013 68.a panta 1. punktu projekta iesniegumā plāno kā vienu izmaksu pozīciju, piemērojot izmaksu vienoto likmi 20 procentu apmērā no projekta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projektā netiek paredzētas šo noteikumu </w:t>
      </w:r>
      <w:r w:rsidR="00000000" w:rsidRPr="00000000" w:rsidDel="00000000">
        <w:rPr>
          <w:rtl w:val="0"/>
        </w:rPr>
        <w:t xml:space="preserve">36.2.1. </w:t>
      </w:r>
      <w:r w:rsidR="00000000" w:rsidRPr="00000000" w:rsidDel="00000000">
        <w:rPr>
          <w:rtl w:val="0"/>
        </w:rPr>
        <w:t xml:space="preserve">apakšpunktā</w:t>
      </w:r>
      <w:r w:rsidR="00000000" w:rsidRPr="00000000" w:rsidDel="00000000">
        <w:rPr>
          <w:rtl w:val="0"/>
        </w:rPr>
        <w:t xml:space="preserve"> minētās projekta īstenošanas personāla izmaksas, tad šo noteikumu </w:t>
      </w:r>
      <w:r w:rsidR="00000000" w:rsidRPr="00000000" w:rsidDel="00000000">
        <w:rPr>
          <w:rtl w:val="0"/>
        </w:rPr>
        <w:t xml:space="preserve">36.7. </w:t>
      </w:r>
      <w:r w:rsidR="00000000" w:rsidRPr="00000000" w:rsidDel="00000000">
        <w:rPr>
          <w:rtl w:val="0"/>
        </w:rPr>
        <w:t xml:space="preserve">apakšpunktā</w:t>
      </w:r>
      <w:r w:rsidR="00000000" w:rsidRPr="00000000" w:rsidDel="00000000">
        <w:rPr>
          <w:rtl w:val="0"/>
        </w:rPr>
        <w:t xml:space="preserve">  minētās projekta vadības personāla izmaksas plāno kā vienu izmaksu pozīciju, piemērojot izmaksu vienoto likmi piecu procentu apmērā no projekta tiešajām attiecināmajām izmaksām, bet neieskaitot tiešās personāla izmaksas.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netiešās attiecināmās izmaksas ir finansējuma saņēmēja izmaksas, kas nav tieši saistītas ar projekta rezultātu sasniegšanu, bet atbalsta un nodrošina atbilstošus apstākļus projekta īstenošanai un projekta rezultātu sasniegšanai, un tās plāno kā vienu izmaksu pozīciju, piemērojot netiešo izmaksu vienoto likmi 15 procentu apmērā no projektā paredzētajām tiešajām attiecināmajām personāla atlīdzības izmaksām.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Neparedzētie izdevumi nepārsniedz piecus procentus no projekta kopējām attiecināmajām tiešajām izmaksām.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minētās izmaksas ir attiecināmas, ja viedā risinājuma izstrādi nodrošina zinātniskā institūcija, kas atbilst vienam no šādiem nosacījumiem: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institūcija ir Izglītības un zinātnes ministrijas Zinātnisko institūciju reģistrā reģistrēta augstskola, kas ir atvasināta publiska persona, šīs augstskolas aģentūra vai augstskolas struktūrvienība, kā arī zinātniskais institūts, kas ir atvasināta publiska persona;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institūcija ir reģistrēta zinātnisko institūciju reģistrā citā Eiropas Savienības dalībvalstī, Eiropas Ekonomikas zonas (EEZ) valstī vai Šveices Konfederācijā;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zinātniskā institūcija ir reģistrēta Izglītības un zinātnes ministrijas Zinātnisko institūciju reģistrā.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ietvaros izmaksas ir attiecināmas no šo noteikumu spēkā stāšanās dienas, izņemot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1.janvāra.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inovāciju iepirkums vai noslēgts sadarbības līgums ar 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minēto sadarbības partneri), var piešķirt finansējuma saņēmējam avansa maksājumus, kuru summa nepārsniedz 30 procentus no projektam piešķirtā ERAF finansējuma pēc civiltiesiskā līguma vai vienošanās par projekta īstenošanu noslēgšanas.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noteiktajam termiņam.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pabeigšanas brīdī projekta ietvaros izstrādātais viedais risinājums ir ieviests produktīvajā darbībā atbilstoši apstiprinātajam projekta iesniegumam;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rādītājiem;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rādītājiem (ja attiecināms):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49.3.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minēto rādītāju vērtību sasniegšanu;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pasākuma ietvaros plānotais atbalsts nepārklājas ar citiem valsts un ārvalstu finanšu atbalsta instrumentiem.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ne retāk kā reizi trijos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Eiropas Parlamenta un Padomes 2021. gada 24. jūnija Regulu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publisko iepirkumu reglamentējošajiem normatīvajiem aktiem, īstenojot atklātu, pārredzamu, nediskriminējošu un konkurenci nodrošinošu konkursa procedūru.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projekta ietvaros nodrošina vides prasību integrāciju preču un pakalpojumu iepirkumos – zaļais publiskais iepirkums un vides un informācijas pieejamību – sociāli atbildīgs publiskais iepirkums.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ieguldījumus infrastruktūrā var veikt: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un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minētā sadarbības partnera īpašumā;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ja īpašuma turējuma tiesības projekta iesniedzējs ir ieguvis uz termiņu, kas nav īsāks par pieciem gadiem no projekta noslēguma maksājuma veikšanas finansējuma saņēmējam.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Intelektuālā īpašuma tiesības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viedo risinājumu pieder finansējuma saņēmējam un to nosaka sadarbības līgumā atbilstoši Zinātniskās darbības likumā noteiktajam.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Pasākuma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glabā projekta dokumentāciju un nodrošina tai pieejamību visā projekta īstenošanas laikā un uzraudzības periodā, kas nepārsniedz piecus gadus pēc pēdējā noslēguma maksājuma veikšanas finansējuma saņēmējam.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Īstenojot projektu, finansējuma saņēmējs Kohēzijas politikas fondu vadības informācijas sistēmā uzkrāj datus un sniedz informāciju par pakalpojuma izmaksu vai enerģijas patēriņa samazinājumu pēc viedā risinājuma ieviešanas.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Īstenojot projektu, finansējuma saņēmējs nodrošina: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iegādāto vai attīstīto viedo risinājumu izmantošanu tikai pašvaldības autonomo funkciju īstenošanai un pārvaldes uzdevumu izpildei;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sasniegto rezultātu ilgtspēju vismaz piecus gadus pēc noslēguma maksājuma veikšanas;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rezultātu uzturēšanu un nepieciešamos līdzekļus rezultātu uzturēšanai vismaz piecus gadus pēc noslēguma maksājuma veikšanas.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22-TA-3427</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22-TA-3427</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noteikumu_projekts_22-TA-3427.docx</dc:title>
</cp:coreProperties>
</file>

<file path=docProps/custom.xml><?xml version="1.0" encoding="utf-8"?>
<Properties xmlns="http://schemas.openxmlformats.org/officeDocument/2006/custom-properties" xmlns:vt="http://schemas.openxmlformats.org/officeDocument/2006/docPropsVTypes"/>
</file>