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Maksātnespējas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Maksātnespējas likumā (Latvijas Vēstnesis, 2010, 124., 170. nr.; 2012, 33. nr.; 2013, 142., 188. nr.; 2014, 204., 257. nr.; 2015, 42. nr.; 2017, 5. nr.; 2018, 119. nr.; 2019, 248A., 253. nr.; 2020, 110A. nr.; 2021, 121B., 171A., 236.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2. pantu ar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 Eiropas Parlamenta un Padomes 2017. gada 12. decembra regulā (ES) Nr. 2017/2402, ar ko nosaka vispārēju regulējumu vērtspapīrošanai un izveido īpašu satvaru attiecībā uz vienkāršu, pārredzamu un standartizētu vērtspapīrošanu, un groza direktīvas 2009/65/EK, 2009/138/EK un 2011/61/ES un regulas (EK) Nr. 1060/2009 un (ES) Nr. 648/2012, 2. pantā minētā iniciatora, parādus apkalpojošās sabiedrības un īpašam nolūkam dibinātas sabiedrības, kas veic vērtspapīrošanu, tiesiskās aizsardzības procesu un maksātnespējas procesu attiecināmi šā likuma noteikumi, ievērojot Vērtspapīrošanas likumā minētos izņēmumus un papildu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vienlaikus ar Vērtspapīrošanas 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22-TA-466</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22-TA-466</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likumprojekts_(grozījumi)_22-TA-466.docx</dc:title>
</cp:coreProperties>
</file>

<file path=docProps/custom.xml><?xml version="1.0" encoding="utf-8"?>
<Properties xmlns="http://schemas.openxmlformats.org/officeDocument/2006/custom-properties" xmlns:vt="http://schemas.openxmlformats.org/officeDocument/2006/docPropsVTypes"/>
</file>