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pasākuma pirmās kārtas ietvaros paredzēts biedrībām, kas pārstāv šādu nozaru komersantus: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Apstrādes rūpniecība (saskaņā ar NACE 2. red. C sadaļu) un šādas apstrādes rūpniecības apakšnozares: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kokrūpniecība;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mašīnbūve un metālapstrāde;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elektrisko un optisko iekārtu ražošana;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ķīmiskā 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pārtikas un dzērienu ražošana;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būvindustrija;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vieglā 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papīra ražošana un poligrāfija.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Informācijas un komunikācijas tehnoloģiju nozare (ierobežojumus nosaka saskaņā ar NACE 2. red. J sadaļu).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Izmitināšanas un ēdināšanas pakalpojumi (ierobežojumus nosaka saskaņā ar NACE 2. red. I sadaļu).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Finanšu un apdrošināšanas darbības (ierobežojumus nosaka saskaņā ar NACE 2. red. K sadaļu).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Profesionālie, zinātniskie un tehniskie pakalpojumi (ierobežojumus nosaka saskaņā ar NACE 2. red. M sadaļu).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Administratīvo un apkalpojošo dienestu darbība (ierobežojumus nosaka saskaņā ar NACE 2. red. N sadaļu).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Energoapgāde un telekomunikācija (ierobežojumus nosaka saskaņā ar NACE 2. red. D un J sadaļu).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noteikumu_projekts_p1_23-TA-958.docx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