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jūnijā (prot. Nr. 23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"Ķīši"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 </w:t>
      </w:r>
      <w:r w:rsidR="00000000" w:rsidRPr="00000000" w:rsidDel="00000000">
        <w:rPr>
          <w:rtl w:val="0"/>
        </w:rPr>
        <w:t xml:space="preserve"> atļaut Satiksmes ministrijai pirkt nekustamā īpašuma "Ķīši" (nekustamā īpašuma kadastra Nr. 4050 009 0224) daļu – zemes vienību (zemes vienības kadastra apzīmējums 4050 009 0381) 0,87 ha platībā un zemes vienību (zemes vienības kadastra apzīmējums 4050 009 0382) 0,32 ha platībā – Ceraukstes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24-TA-954</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24-TA-954</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rīkojuma_projekts_24-TA-954.docx</dc:title>
</cp:coreProperties>
</file>

<file path=docProps/custom.xml><?xml version="1.0" encoding="utf-8"?>
<Properties xmlns="http://schemas.openxmlformats.org/officeDocument/2006/custom-properties" xmlns:vt="http://schemas.openxmlformats.org/officeDocument/2006/docPropsVTypes"/>
</file>