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6. jūnija noteikumos Nr. 290 "Cilvēkkapitāla attīstības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6. jūnija noteikumos Nr. 290 "Cilvēkkapitāla attīstības padomes nolikums" (Latvijas Vēstnesis, 2023, 112.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Padomes sēdēs ar padomdevēja tiesībām pieaicina pārstāvjus no Latvijas Brīvo arodbiedrību savienības un šādām biedrībām: Ārvalstu investoru padomes Latvijā, Latvijas Darba devēju konfederācijas, Latvijas Eksportētāju asociācijas "The Red Jackets", Latvijas Tirdzniecības un rūpniecības kameras. Papildus padomes loceklis var pieaicināt arī citu ministriju, sadarbības partneru, nevalstisko organizāciju un institūciju pārstāvjus un speciālistus, kas ir eksperti konkrētajos darba kārtības jautājumos, par to informējot padomes sekretariātu."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24-TA-1524</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24-TA-1524</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noteikumu_(grozījumu)_projekts_24-TA-1524.docx</dc:title>
</cp:coreProperties>
</file>

<file path=docProps/custom.xml><?xml version="1.0" encoding="utf-8"?>
<Properties xmlns="http://schemas.openxmlformats.org/officeDocument/2006/custom-properties" xmlns:vt="http://schemas.openxmlformats.org/officeDocument/2006/docPropsVTypes"/>
</file>