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Zvejas produktu ražotāju organizāciju, akvakultūras produktu ražotāju organizāciju un starpnozaru organizāciju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9. panta</w:t>
      </w:r>
      <w:r w:rsidR="00000000" w:rsidRPr="00000000" w:rsidDel="00000000">
        <w:rPr>
          <w:rStyle w:val="paragraph"/>
          <w:i w:val="1"/>
          <w:rtl w:val="0"/>
        </w:rPr>
        <w:t xml:space="preserve">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zvejas produktu ražotāju organizāciju, akvakultūras produktu ražotāju organizāciju un starpnozaru organizāciju atzīšanas kritērijus, atzīšanas un tās atsaukšanas kārtību, darbības nosacījumus un kontroles kārtību, kā arī institūciju, kas atzīst un kontrolē ražotāju organizācijas un starpnozaru organizācijas.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produktu ražotāju organizācija var pretendēt uz atzīšanu, ja tā darbojas atbilstoši Eiropas Parlamenta un Padomes 2013. gada 11. decembra Regulas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 6., 7., 8., 9., 10., 14. un 17. panta nosacījumiem un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rajonā Baltijas jūrā un Baltijas jūras Rīgas līcī aiz piekrastes joslas (turpmāk – zvejas rajons) zvejas produktu ražotāju organizācijas biedru īpašumā vai nomā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atzīšanas pieteikuma iesniegšanas brīdī un turpmāk katra zvejas gada sākumā (pēc stāvokļa 1. janvārī) ir vismaz 20 procentu no to zvejas kuģu kopējā skaita, kuri zvejo attiecīgajā zvejas rajonā un ir reģistrēti Zemkopības ministrijas zvejas kuģu sarakstā. Ja kuģis tiek nomāts, nomas līgums par to ir noslēgts vismaz uz 12 mēnešiem no dienas, kad attiecīgais biedrs ir saņēmis speciālo atļauju (licenci) komercdarbībai zvejniecībā;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zivis, ko nozvejojuši tādas zvejas produktu ražotāju organizācijas biedri, kas darbojas zvejas rajonā Baltijas jūras un Baltijas jūras Rīgas līča piekrastē, veido vismaz 25 procentus no iepriekšējā zvejas gada un turpmāk no katra nākamā zvejas gada kopējā nozvejas apjoma Baltijas jūras vai Baltijas jūras Rīgas līča Latvijas piekrastē vai vismaz katrā atsevišķajā Baltijas jūras Rīgas līča piekrastes daļā – austrumu daļā (Limbažu novadā), dienvidu daļā (Saulkrastu un Ādažu novadā, kā arī Rīgas un Jūrmalas valstspilsētās) un rietumu daļā (Tukuma un Talsu novadā);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zivis, ko nozvejojuši tādas zvejas produktu ražotāju organizācijas biedri, kas darbojas iekšējos ūdeņos, veido vismaz 15 procentu no iepriekšējā zvejas gada un turpmāk no katra nākamā zvejas gada kopējā nozvejas apjoma Latvijas iekšējos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Akvakultūras produktu ražotāju organizācija var pretendēt uz atzīšanu, ja tā darbojas atbilstoši regulas Nr. </w:t>
      </w:r>
      <w:r w:rsidR="00000000" w:rsidRPr="00000000" w:rsidDel="00000000">
        <w:rPr>
          <w:rtl w:val="0"/>
        </w:rPr>
        <w:t xml:space="preserve">1379/2013</w:t>
      </w:r>
      <w:r w:rsidR="00000000" w:rsidRPr="00000000" w:rsidDel="00000000">
        <w:rPr>
          <w:rtl w:val="0"/>
        </w:rPr>
        <w:t xml:space="preserve"> 6., 7., 8., 9., 10., 14. un 17. pantā minētajiem nosacījumiem un tās biedri iepriekšējā gadā izaudzējuši vai pārdevuši vismaz 25 procentus no attiecīgās dzīvnieku sugas kopējā izaudzētā vai pārdotā produkcijas apjoma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Starpnozaru organizācija var pretendēt uz atzīšanu, ja tā darbojas atbilstoši regulas Nr. </w:t>
      </w:r>
      <w:r w:rsidR="00000000" w:rsidRPr="00000000" w:rsidDel="00000000">
        <w:rPr>
          <w:rtl w:val="0"/>
        </w:rPr>
        <w:t xml:space="preserve">1379/2013</w:t>
      </w:r>
      <w:r w:rsidR="00000000" w:rsidRPr="00000000" w:rsidDel="00000000">
        <w:rPr>
          <w:rtl w:val="0"/>
        </w:rPr>
        <w:t xml:space="preserve"> 11., 12., 13., 16. un 17. pantā minētajiem nosacījumiem un to veido vismaz trīs pārstāvji no divām apakšnozarēm – zvejas produktu ražotāji, akvakultūras produktu ražotāji, kā arī zvejas vai akvakultūras produktu apstrādes uzņēmumi vai vismaz tikpat daudz zvejas un akvakultūras produktu pirmo pircēju – un ja katras starpnozaru organizācijas pārstāvētās apakšnozares gada kopējais apgrozījums veido vismaz 15 procentu no pēdējā noslēgtā gada kopējā attiecīgās apakšnozares apgrozījuma Latvijā un starpnozaru organizācijas atzīšanas brīdī par šo apgrozījumu Zemkopības ministrijai ir pieejami atbilstoši statistikas dati.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 (turpmāk – dienests) ir kompetentā iestāde, kas pieņem lēmumu par ražotāju organizāciju un starpnozaru organizāciju atzīšanu atbilstoši regulas Nr. </w:t>
      </w:r>
      <w:r w:rsidR="00000000" w:rsidRPr="00000000" w:rsidDel="00000000">
        <w:rPr>
          <w:rtl w:val="0"/>
        </w:rPr>
        <w:t xml:space="preserve">1379/2013</w:t>
      </w:r>
      <w:r w:rsidR="00000000" w:rsidRPr="00000000" w:rsidDel="00000000">
        <w:rPr>
          <w:rtl w:val="0"/>
        </w:rPr>
        <w:t xml:space="preserve"> 14. un 16. pantam, kā arī Komisijas 2013. gada 17. decembra Īstenošanas regulas (ES) Nr. </w:t>
      </w:r>
      <w:r w:rsidR="00000000" w:rsidRPr="00000000" w:rsidDel="00000000">
        <w:rPr>
          <w:rtl w:val="0"/>
        </w:rPr>
        <w:t xml:space="preserve">1419/2013</w:t>
      </w:r>
      <w:r w:rsidR="00000000" w:rsidRPr="00000000" w:rsidDel="00000000">
        <w:rPr>
          <w:rtl w:val="0"/>
        </w:rPr>
        <w:t xml:space="preserve"> par ražotāju organizāciju un starpnozaru organizāciju atzīšanu, ražotāju organizāciju un starpnozaru organizāciju noteikumu paplašināšanu un sliekšņa cenu publicēšanu saskaņā ar Eiropas Parlamenta un Padomes Regulu (ES) Nr. 1379/2013 par zvejas un akvakultūras produktu tirgu kopīgo organizāciju (turpmāk – regula Nr. </w:t>
      </w:r>
      <w:r w:rsidR="00000000" w:rsidRPr="00000000" w:rsidDel="00000000">
        <w:rPr>
          <w:rtl w:val="0"/>
        </w:rPr>
        <w:t xml:space="preserve">1419/2013</w:t>
      </w:r>
      <w:r w:rsidR="00000000" w:rsidRPr="00000000" w:rsidDel="00000000">
        <w:rPr>
          <w:rtl w:val="0"/>
        </w:rPr>
        <w:t xml:space="preserve">) 2. un 4. pantam.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Ražotāju organizācija vai starpnozaru organizācija, kas pretendē uz atzīšanu, iesniedz dienestā atzīšanas pieteikumu saskaņā ar regulas Nr. </w:t>
      </w:r>
      <w:r w:rsidR="00000000" w:rsidRPr="00000000" w:rsidDel="00000000">
        <w:rPr>
          <w:rtl w:val="0"/>
        </w:rPr>
        <w:t xml:space="preserve">1419/2013</w:t>
      </w:r>
      <w:r w:rsidR="00000000" w:rsidRPr="00000000" w:rsidDel="00000000">
        <w:rPr>
          <w:rtl w:val="0"/>
        </w:rPr>
        <w:t xml:space="preserve"> I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Ražotāju organizācija iesniedz dienestā ražošanas un tirdzniecības plānu, kas izstrādāts saskaņā ar regulas Nr. </w:t>
      </w:r>
      <w:r w:rsidR="00000000" w:rsidRPr="00000000" w:rsidDel="00000000">
        <w:rPr>
          <w:rtl w:val="0"/>
        </w:rPr>
        <w:t xml:space="preserve">1379/2013</w:t>
      </w:r>
      <w:r w:rsidR="00000000" w:rsidRPr="00000000" w:rsidDel="00000000">
        <w:rPr>
          <w:rtl w:val="0"/>
        </w:rPr>
        <w:t xml:space="preserve"> 28. pantu, Komisijas 2013. gada 17. decembra Īstenošanas regulas (ES) Nr. </w:t>
      </w:r>
      <w:r w:rsidR="00000000" w:rsidRPr="00000000" w:rsidDel="00000000">
        <w:rPr>
          <w:rtl w:val="0"/>
        </w:rPr>
        <w:t xml:space="preserve">1418/2013</w:t>
      </w:r>
      <w:r w:rsidR="00000000" w:rsidRPr="00000000" w:rsidDel="00000000">
        <w:rPr>
          <w:rtl w:val="0"/>
        </w:rPr>
        <w:t xml:space="preserve"> par ražošanas un tirdzniecības plāniem, kas paredzēti Eiropas Parlamenta un Padomes Regulā (ES) Nr. 1379/2013 par zvejas un akvakultūras produktu tirgu kopīgo organizāciju (turpmāk – regula Nr. </w:t>
      </w:r>
      <w:r w:rsidR="00000000" w:rsidRPr="00000000" w:rsidDel="00000000">
        <w:rPr>
          <w:rtl w:val="0"/>
        </w:rPr>
        <w:t xml:space="preserve">1418/2013</w:t>
      </w:r>
      <w:r w:rsidR="00000000" w:rsidRPr="00000000" w:rsidDel="00000000">
        <w:rPr>
          <w:rtl w:val="0"/>
        </w:rPr>
        <w:t xml:space="preserve">), 2. pantu un pielikumu, kā arī ievērojot šo noteikumu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Zvejas produktu ražotāju organizācija un starpnozaru organizācija katru gadu līdz 1. martam un akvakultūras produktu ražotāju organizācija katru gadu līdz 1. jūnijam iesniedz dienestā gada ziņojumu par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ražošanas un tirdzniecības plānu izpildi saskaņā ar regulas Nr. </w:t>
      </w:r>
      <w:r w:rsidR="00000000" w:rsidRPr="00000000" w:rsidDel="00000000">
        <w:rPr>
          <w:rtl w:val="0"/>
        </w:rPr>
        <w:t xml:space="preserve">1379/2013</w:t>
      </w:r>
      <w:r w:rsidR="00000000" w:rsidRPr="00000000" w:rsidDel="00000000">
        <w:rPr>
          <w:rtl w:val="0"/>
        </w:rPr>
        <w:t xml:space="preserve"> 28. panta 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minētajā gada ziņojumā iekļauto pasākumu izpildi izvērtē mēneša laikā. Ja dienests pieprasa papildu informāciju, izskatīšanas termiņš tiek pagarināts par 15 darbdienām pēc papildu informācijas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Ražotāju organizācija, iesniedzot dienestā attiecīgu iesniegumu, ir tiesīga saskaņā ar regulas Nr. </w:t>
      </w:r>
      <w:r w:rsidR="00000000" w:rsidRPr="00000000" w:rsidDel="00000000">
        <w:rPr>
          <w:rtl w:val="0"/>
        </w:rPr>
        <w:t xml:space="preserve">1379/2013</w:t>
      </w:r>
      <w:r w:rsidR="00000000" w:rsidRPr="00000000" w:rsidDel="00000000">
        <w:rPr>
          <w:rtl w:val="0"/>
        </w:rPr>
        <w:t xml:space="preserve"> 28. panta 4. punktu un regulas Nr. </w:t>
      </w:r>
      <w:r w:rsidR="00000000" w:rsidRPr="00000000" w:rsidDel="00000000">
        <w:rPr>
          <w:rtl w:val="0"/>
        </w:rPr>
        <w:t xml:space="preserve">1418/2013</w:t>
      </w:r>
      <w:r w:rsidR="00000000" w:rsidRPr="00000000" w:rsidDel="00000000">
        <w:rPr>
          <w:rtl w:val="0"/>
        </w:rPr>
        <w:t xml:space="preserve"> 3. pantu izdarīt grozījumus apstiprinātajā ražošanas un tirdzniecības plānā.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veic regulas Nr. </w:t>
      </w:r>
      <w:r w:rsidR="00000000" w:rsidRPr="00000000" w:rsidDel="00000000">
        <w:rPr>
          <w:rtl w:val="0"/>
        </w:rPr>
        <w:t xml:space="preserve">1379/2013</w:t>
      </w:r>
      <w:r w:rsidR="00000000" w:rsidRPr="00000000" w:rsidDel="00000000">
        <w:rPr>
          <w:rtl w:val="0"/>
        </w:rPr>
        <w:t xml:space="preserve"> 18. panta 1. punktā un 28. panta 7. punktā minētās pārbaudes.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var lemt par ražotāju organizācijas atzīšanas atsaukšanu, ja saskaņā ar regulas Nr. </w:t>
      </w:r>
      <w:r w:rsidR="00000000" w:rsidRPr="00000000" w:rsidDel="00000000">
        <w:rPr>
          <w:rtl w:val="0"/>
        </w:rPr>
        <w:t xml:space="preserve">1379/2013</w:t>
      </w:r>
      <w:r w:rsidR="00000000" w:rsidRPr="00000000" w:rsidDel="00000000">
        <w:rPr>
          <w:rtl w:val="0"/>
        </w:rPr>
        <w:t xml:space="preserve"> 18. panta 1. punktu un 28. panta 7. punktu konstatē neatbilstību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Zemkopības ministrija pēc attiecīgās informācijas saņemšanas par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noteikto pārbaužu rezultātiem, ja nepieciešams, sniedz attiecīgu paziņojumu Eiropas Komisijai atbilstoši regulas Nr. </w:t>
      </w:r>
      <w:r w:rsidR="00000000" w:rsidRPr="00000000" w:rsidDel="00000000">
        <w:rPr>
          <w:rtl w:val="0"/>
        </w:rPr>
        <w:t xml:space="preserve">1379/2013</w:t>
      </w:r>
      <w:r w:rsidR="00000000" w:rsidRPr="00000000" w:rsidDel="00000000">
        <w:rPr>
          <w:rtl w:val="0"/>
        </w:rPr>
        <w:t xml:space="preserve"> 20. panta 2. punktam.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25-TA-2338</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25-TA-2338</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noteikumu_konsolidētā_versija_25-TA-2338.docx</dc:title>
</cp:coreProperties>
</file>

<file path=docProps/custom.xml><?xml version="1.0" encoding="utf-8"?>
<Properties xmlns="http://schemas.openxmlformats.org/officeDocument/2006/custom-properties" xmlns:vt="http://schemas.openxmlformats.org/officeDocument/2006/docPropsVTypes"/>
</file>