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februārī (prot. Nr. 9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 (Latvijas Vēstnesis, 2024, 13., 164. nr.; 2025, 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līdz 2026. gada 31. jūlijam: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Ādažu novada pašvaldība – izbūvēts viens videi draudzīgs mobilitātes punkts Rīgas metropoles areālā Carnikavā;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 Rīgas valstspilsētas pašvaldība – izbūvēti seši videi draudzīgi mobilitātes punkti Rīgas valstspilsētā;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5.1.3. Saulkrastu novada pašvaldība – izbūvēts viens videi draudzīgs mobilitātes punkts Rīgas metropoles areālā Saulkrastos;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5.1.4. Rīgas pašvaldības sabiedrībai ar ierobežotu atbildību "Rīgas satiksme" (turpmāk – "Rīgas satiksme"):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5.1.4.1. izbūvēts ar mobilitātes punkta "Šķirotava" izbūvi saistīts tramvaja līnijas pagarinājums 2,2 km garumā un trolejbusu līnijas pagarinājums 0,3 km garumā;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5.1.4.2. izbūvēts transportmijas punkts un ar tā funkcionalitātes nodrošināšanu saistīta infrastruktūra, tostarp dispečerpunkta ēka Rīgas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Investīcijai kopējais pieejamais atveseļošanas fonda finansējums ir 60 744 439 </w:t>
      </w:r>
      <w:r w:rsidR="00000000" w:rsidRPr="00000000" w:rsidDel="00000000">
        <w:rPr>
          <w:i w:val="1"/>
          <w:rtl w:val="0"/>
        </w:rPr>
        <w:t xml:space="preserve">euro </w:t>
      </w:r>
      <w:r w:rsidR="00000000" w:rsidRPr="00000000" w:rsidDel="00000000">
        <w:rPr>
          <w:rtl w:val="0"/>
        </w:rPr>
        <w:t xml:space="preserve">šādā sadalījumā: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Rīgas valstspilsētas pašvaldībai sešu mobilitātes punktu izbūvei Rīgas valstspilsētā – 27 642 762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"Rīgas satiksmei" ar mobilitātes punkta "Šķirotava" izbūvi saistītā tramvaja līnijas pagarinājuma 2,2 km garumā un trolejbusa līnijas pagarinājuma 0,3 km garumā izbūvei, transportmijas punkta un dispečerpunkta ēkas izbūvei Rīgas valstspilsētā – 29 449 427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Ādažu novada pašvaldībai mobilitātes punkta "Carnikava" izbūvei – 1 186 500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Saulkrastu novada pašvaldībai mobilitātes punkta "Saulkrasti" izbūvei – 2 465 750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par izslēgšanas kritērijiem un lēmumiem par izslēgšanu attiecībā uz finansējuma saņēmēju atbilstoši Eiropas Parlamenta un Padomes 2024. gada 23. septembra Regulas (ES, Euratom) 2024/2509 par finanšu noteikumiem, ko piemēro Savienības vispārējam budžetam (pārstrādāta redakcija) (turpmāk – regula Nr. 2024/2509), 138.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Atbalsts nav sniedzams, ja uz finansējuma saņēmēju attiecas kāds no regulas Nr. 2024/2509  138. pantā minētajiem izslēgšanas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noslēguma maksājumu par atlikušo finansējuma daļu var veikt tikai pēc tam, kad aģentūra ir guvusi pārliecību par projekta nacionālo rādītāju sasniegšanu šo noteikumu 61. punktā minētās pamatojošās dokumentācijas pārbaudes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29.12.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 ar tramvaja un trolejbusa līniju pagarinājumu (tostarp transportmijas punkta un dispečerpunkta) un apakšstacijas izbūvi saistītu kontakttīkla materiālu iegādes un kontakttīklu izbūves, pārbūves un atjaunošanas izmaksas, kā arī saistītu elektroapgādes sistēmu – kabeļu trašu un apakšstaciju – izbūves, pārbūves un atjaunošanas izmaksas, tostarp saistībā ar jaudas palielināšanu, lai nodrošinātu to funkcionēšanu;".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"37.4. projekta īstenošanas ietvaros var piesaistīt neatkarīgu revidentu vai iekšējo auditoru avansa, starpposma vai noslēguma maksājumu pieprasījumiem, lai apliecinātu veikto izmaksu pamatotību, kā arī lai apliecinātu mērķa sasniegšanu un izmaksu pamatotību noslēguma maksājuma pieprasījumam;".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"44.6. nosacījumi par informācijas publicēšanu par sniegto komercdarbības atbalstu saskaņā ar regulas Nr. 651/2014 9. pantu, ņemot vērā Ministru kabineta 2016. gada 21. jūnija noteikumu Nr. 386 "Kārtība, kādā publicē informāciju par sniegto komercdarbības atbalstu" nosacījumus. Informācijas publicēšanu nodrošina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Finansējuma saņēmējs līdz 2026. gada 5. augustam iesniedz vadības informācijas sistēmā nacionālo rādītāju sasniegšanu pamatojošo dokumentāciju: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apliecinājumu par izbūvētās un pārbūvētās infrastruktūras nodošanu ekspluatācijā un projekta mērķu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 iepirkumu dokumentāciju, pakalpojumu un piegādes līgumus, izdevumus pamatojošo dokumentāciju;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rēķinus un citus veiktos maksājumus apliecinošus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61.4. pieņemšanas un nodošanas aktus;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61.5. citus pamatojošus dokumentus, kas apliecina projekta mērķu un nacionālo rādītāju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Investīcijas ietvaros projektu īsteno saskaņā ar vienošanos vai līgumu par projekta īstenošanu, bet ne ilgāk kā līdz 2026. gada 31. jūlijam."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25-TA-2715</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25-TA-2715</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noteikumu_(grozījumu)_projekts_25-TA-2715.docx</dc:title>
</cp:coreProperties>
</file>

<file path=docProps/custom.xml><?xml version="1.0" encoding="utf-8"?>
<Properties xmlns="http://schemas.openxmlformats.org/officeDocument/2006/custom-properties" xmlns:vt="http://schemas.openxmlformats.org/officeDocument/2006/docPropsVTypes"/>
</file>