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civilās aviācijas lidlauku izmanto militārās aviācijas gaisa kuģi un militārās aviācijas lidlauku – civilās aviācijas gaisa kuģi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29.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civilās aviācijas lidlauku izmanto militārās aviācijas gaisa kuģi un militārās aviācijas lidlauku – civilās aviācijas gaisa kuģi.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alternatīvie drošības pasākumi – pasākumu kopums, kas ļauj atkāpties no Eiropas Parlamenta un Padomes 2008. gada 11. marta Regulas (EK) Nr. 300/2008 par kopīgiem noteikumiem civilās aviācijas drošības jomā un ar ko atceļ Regulu (EK) Nr. 2320/2002, 4. panta 1. punktā minētajiem kopējiem pamatstandartiem;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apstiprinātā mācību organizācija – Komisijas 2011. gada 3. novembra Regulas (ES) Nr. 1178/2011, ar ko nosaka tehniskās prasības un administratīvās procedūras attiecībā uz civilās aviācijas gaisa kuģa apkalpi atbilstīgi Eiropas Parlamenta un Padomes Regulai (EK) Nr. 216/2008 (turpmāk – Regula Nr. 1178/2011), 2. panta 16. punktā minētā apstiprinātā mācību organizācija, kuru sertificējusi valsts aģentūra "Civilās aviācijas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aviācijas gaisa kuģa personāls – fiziskās personas, kas atrodas militārās aviācijas gaisa kuģī tā lidojuma laikā, izņemot militārās aviācijas gaisa kuģa apkalpi;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militārās aviācijas gaisa kuģa personāla bagāža – militārās aviācijas gaisa kuģa personāla personīgās lietas un dienesta vai darba vajadzībām nepieciešamais materiāltehniskais nodrošinājums, kas militārās aviācijas gaisa kuģa lidojuma laikā ir piesaistīts konkrētai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militārā krava – munīcija, bruņojums, speciālie līdzekļi un tehnika, kas nodota pārvadāšanai ar militārās aviācijas gaisa kuģi un paredzēta ārvalstu bruņoto spēku vai Nacionālo bruņoto spēku vajadzībām, kā arī valsts krava, kas tiek pārvadāta ar militārās aviācijas gaisa kuģi;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pavadošās personas – personas, kas neatrodas militārās aviācijas gaisa kuģī lidojuma laikā, bet var atrasties civilās aviācijas lidlaukā, lai nodrošinātu militārās aviācijas gaisa kuģa lidojuma organizēšanu un apkalpošanu.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Civilās aviācijas lidlauku izmantošana militārās aviācijas gaisa kuģu vajadzībām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Civilās aviācijas lidlauku izmantošanu militārās aviācijas gaisa kuģu vajadzībām organizē Nacionālie bruņotie spēki (turpmāk – lidojumu organizators).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Lidojumu organizators: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atbildīgās amatpersonas, kuras organizē militārās aviācijas gaisa kuģu un to personāla apkalpošanu civilās aviācijas lidlaukā;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šo noteikumu 4.1. apakšpunktā minētās atbildīgās amatpersonas ir apmācītas saskaņā ar Komisijas 2015. gada 5. novembra Īstenošanas regulas (ES) Nr. 2015/1998, ar ko nosaka sīki izstrādātus pasākumus kopīgu pamatstandartu īstenošanai aviācijas drošības jomā, pielikuma 11.2.2. punkta prasībām un ir saņēmušas pastāvīgo attiecīgā civilās aviācijas lidlauka caurlaidi.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Civilās aviācijas lidlauku, no kura veic gaisa pārvadājumus, izmanto militārās aviācijas gaisa kuģu vajadzībām ārpus civilās aviācijas lidlauka gaisa satiksmes plūsmas un lidlauka noslogotākajiem periodiem.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Lidojumu organizators ne vēlāk kā 48 stundas pirms militārās aviācijas gaisa kuģa lidojuma iesniedz civilās aviācijas lidlauka administrācijai pieteikumu (</w:t>
      </w:r>
      <w:r w:rsidR="00000000" w:rsidRPr="00000000" w:rsidDel="00000000">
        <w:rPr>
          <w:rtl w:val="0"/>
        </w:rPr>
        <w:t xml:space="preserve">pielikums</w:t>
      </w:r>
      <w:r w:rsidR="00000000" w:rsidRPr="00000000" w:rsidDel="00000000">
        <w:rPr>
          <w:rtl w:val="0"/>
        </w:rPr>
        <w:t xml:space="preserve">),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civilās aviācijas lidlauku izmanto šādiem mērķiem: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plānotiem militārās aviācijas gaisa kuģu lidojumiem;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aviācijas gaisa kuģu mācību lidojumiem;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militārās kravas un militārās aviācijas gaisa kuģa personāla pārvadājumiem;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aviācijas gaisa kuģa personālam, tā bagāžai, militārajai kravai un pavadošajām personām nepieciešams piemērot šādus alternatīvos drošības pasākumus: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atbrīvojumu no piekļuves kontroles;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atbrīvojumu no drošības pārbaudes;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īpašās drošības 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nepieciešama steidzama rīcība, šo noteikumu 6. punktā minētā pieteikuma iesniegšanas laiku var samazināt līdz laikam, par kuru lidojumu organizators ir vienojies ar attiecīgā civilās aviācijas lidlauka administrāciju.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civilās aviācijas lidlaukā veic militārās aviācijas gaisa kuģa virszemes apkalpošanu (bagāžas apstrādi, apkalpošanu uz perona, ienākošo, izejošo un tranzīta kravu un pasta fizisko pārkraušanu posmā starp lidostas termināli un gaisa kuģi, gaisa kuģa bagāžas iekraušanas kontroli, informācijas apmaiņu un sakaru nodrošināšanu), uz kuru attiecas normatīvie akti par kārtību, kādā piešķir pieeju lidlauka sniegto pakalpojumu tirgum, militārās aviācijas gaisa kuģa apkalpošanu nodrošina komersants, kas attiecīgajā civilās aviācijas lidlaukā ir tiesīgs sniegt minētos virszemes apkalpošanas pakalpojumus.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civilās aviācijas lidlaukā veic militārās aviācijas gaisa kuģa virszemes apkalpošanu, kura nav minēta šo noteikumu 8. punktā un uz kuru neattiecas normatīvie akti par kārtību, kādā piešķir pieeju lidlauka sniegto pakalpojumu tirgum, militārās aviācijas gaisa kuģa apkalpošanu nodrošina lidojumu organizators vai komersants, kas attiecīgajā civilās aviācijas lidlaukā ir tiesīgs sniegt attiecīgos virszemes apkalpošanas pakalpojumus.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militārās aviācijas gaisa kuģa virszemes apkalpošanas pakalpojumu vēlas saņemt no komersanta, kas nav civilās aviācijas lidlauka ekspluatants, lidojumu organizators šo noteikumu 6. punktā minēto pieteikumu iesniedz arī attiecīgajam komersantam.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Militārās kravas apkalpošanu nodrošina lidojumu organizators vai oficiālais kravu aģents, kura aviācijas drošības programmā ir iekļauta valsts aģentūrā "Civilās aviācijas aģentūra" apstiprināta sadaļa par militārās kravas apkalpošanu.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militārās aviācijas gaisa kuģī atrodas bīstamās vielas vai izstrādājumi, kas minēti 1944. gada 7. decembra Konvencijas par starptautisko civilo aviāciju 18. pielikumā un Starptautiskās Civilās aviācijas organizācijas dokumentā "Tehniskās instrukcijas bīstamu izstrādājumu drošai pārvadāšanai pa gaisu" (ICAO Doc 9284), tā virszemes apkalpošanas pakalpojumus nodrošina atbilstoši normatīvajiem aktiem par bīstamo izstrādājumu un bīstamo kravu gaisa pārvadājumu veikšanas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Virszemes apkalpošanas pakalpojumu saņemšanai militārās aviācijas gaisa kuģus ir atļauts novietot civilās aviācijas lidlauka norobežotajās zonās.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6.2. apakšpunktā minētos alternatīvos drošības pasākumus piemēro militārās aviācijas gaisa kuģa personālam, tā bagāžai un militārajām kravām, kas izlido no civilās aviācijas lidlauka, kā arī pavadošajām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6.2.2. un 6.2.3. apakšpunktā minētos alternatīvos drošības pasākumus attiecina uz civilās aviācijas lidlaukiem, no kuriem tiek veikti gaisa pārvadājumi.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Lidojumu organizators nosaka alternatīvos drošības pasākumus, kādus piemēro militārās aviācijas gaisa kuģa personālam, tā bagāžai, militārajai kravai un pavadošajām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Civilās aviācijas lidlauka administrācija sadarbībā ar lidojumu organizatoru nodrošina, ka militārās aviācijas gaisa kuģa personāls, tā bagāža un pavadošās personas tiek nogādātas līdz militārās aviācijas gaisa kuģim nošķirti no civilās aviācijas gaisa kuģu pasažieriem, apkalpes un civilās aviācijas lidlauka personāla, kas nav iesaistīts militārās aviācijas gaisa kuģa apkalpošanā.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Lidojumu organizators nodrošina, ka no drošības pārbaudes atbrīvotais militārās aviācijas gaisa kuģa personāls un pavadošās personas ir informētas par civilās aviācijas lidlauka aviācijas drošības procedūrām.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Lidojumu organizators nodrošina, ka militārās aviācijas gaisa kuģa personāla bagāžai un militārajai kravai no tās nokomplektēšanas brīža līdz iekraušanai militārās aviācijas gaisa kuģī nav piekļuvušas ar tās apkalpošanu nesaistītas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Civilās aviācijas lidlauka īpašā drošības pārbaude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atvieglotā civilās aviācijas lidlauka drošības pārbaude – bagāžas un virsdrēbju pārbaude ar rentgena caurskates iekārtu;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pastiprinātā civilās aviācijas lidlauka drošības pārbaude – lidojumu organizatora noteiktie papildu drošības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Militārās aviācijas lidlauku izmantošana civilās aviācijas gaisa kuģu vajadzībām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Civilās aviācijas gaisa kuģi militārās aviācijas lidlaukus var izmantot, ja tie atbilst normatīvajiem aktiem par civilās aviācijas darbību. Civilās aviācijas gaisa kuģi militārās aviācijas lidlaukus var izmantot gaisa pārvadājumiem, ja militārās aviācijas lidlauki vai to daļas un iekārtas, ko izmanto šādu pārvadājumu apkalpošanai, atbilst civilās aviācijas gaisa kuģu ekspluatācijas nosacījumiem saskaņā ar Komisijas 2012. gada 5. oktobra Regulu (EK) Nr. 965/2012, ar ko nosaka tehniskās prasības un administratīvās procedūras saistībā ar gaisa kuģu ekspluatāciju atbilstīgi Eiropas Parlamenta un Padomes Regulai (EK) Nr. 216/2008.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Civilās aviācijas gaisa kuģi militārās aviācijas lidlaukus var izmantot mācību lidojumiem, ja militārās aviācijas lidlauki vai to daļas, ko izmanto šādiem mācību lidojumiem, atbilst šo noteikumu 21. punktā minētajiem civilās aviācijas gaisa kuģu ekspluatācijas noteikumiem un Regulas Nr. 1178/2011 VII pielikuma ORA.GEN.140, ORA.GEN.215 un ORA.ATO.140 punkta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Apstiprinātā mācību organizācija un gaisa kuģa ekspluatants, kas izmantos militāro lidlauku mācību lidojumiem, slēdz līgumu ar Nacionālajiem bruņotajiem spēkiem par militārā lidlauka vai tā daļas izmantošanu. Līgumā iekļauj  informāciju par mācību lidojumu veidu, mācību lidojumiem izmantojamiem gaisa kuģiem (tips, reģistrācijas numurs), personām, kas mācību lidojumiem izmantos gaisa kuģi, un apliecinājumu par Regulas Nr. 1178/2011 VII pielikuma ORA.GEN.140 punkta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Militārās aviācijas lidlauku civilās aviācijas gaisa kuģu lidojumiem izmanto ārpus militārās aviācijas lidlauka gaisa satiksmes plūsmas un militārās aviācijas gaisa kuģu apkalpošanas periodiem.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Nacionālie bruņotie spēki, apstiprinātā mācību organizācija un gaisa kuģa ekspluatants novērtē militārā lidlauka atbilstību civilās aviācijas gaisa kuģu mācību lidojumiem. Šādu atbilstības novērtējumu dokumentē un pēc pieprasījuma iesniedz valsts aģentūrai "Civilās aviācijas aģentūra" civilās aviācijas uzraudzības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Apkalpojot civilās aviācijas gaisa kuģus, kas izmanto militāros lidlaukus, tiek piemērotas aviodrošības prasības, kas noteiktas Eiropas Parlamenta un Padomes 2008. gada 11. marta Regulā (EK) Nr. 300/2008 par kopīgiem noteikumiem civilās aviācijas drošības jomā un ar ko atceļ Regulu (EK) Nr. 2320/2002,  Komisijas 2015. gada 5. novembra Īstenošanas regulā (ES) Nr. 2015/1998, ar ko nosaka sīki izstrādātus pasākumus kopīgu pamatstandartu īstenošanai aviācijas drošības jomā, un Komisijas 2009. gada 18. decembra Regulā (ES) Nr. 1254/2009, ar ko nosaka kritērijus, lai ļautu dalībvalstīm atkāpties no kopējiem pamatstandartiem civilās aviācijas drošības jomā un pieņemt alternatīvus drošības pasākumus.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kas civilās aviācijas gaisa kuģiem nepieciešama Latvijas Republikas militārās aviācijas lidlauku izmantošanai, Aizsardzības ministrija pēc saskaņošanas ar valsts aģentūru "Civilās aviācijas aģentūra" iesniedz Latvijas Republikas gaisa telpas izmantošanas un gaisa satiksmes organizēšanas valsts komercsabiedrībai publicēšanai dokumentā "Aeronavigācijas informācijas publikācija".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Civilās aviācijas gaisa kuģi, kuriem draud briesmas vai kuri ir briesmās, vai kuri ir cietuši nelaimes gadījumā, var izmantot jebkuru militārās aviācijas lidlauku.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2019.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Grozījumi šo noteikumu 2.1.</w:t>
      </w:r>
      <w:r w:rsidR="00000000" w:rsidRPr="00000000" w:rsidDel="00000000">
        <w:rPr>
          <w:vertAlign w:val="superscript"/>
          <w:rtl w:val="0"/>
        </w:rPr>
        <w:t xml:space="preserve">1</w:t>
      </w:r>
      <w:r w:rsidR="00000000" w:rsidRPr="00000000" w:rsidDel="00000000">
        <w:rPr>
          <w:rtl w:val="0"/>
        </w:rPr>
        <w:t xml:space="preserve"> apakšpunktā, 21.</w:t>
      </w:r>
      <w:r w:rsidR="00000000" w:rsidRPr="00000000" w:rsidDel="00000000">
        <w:rPr>
          <w:vertAlign w:val="superscript"/>
          <w:rtl w:val="0"/>
        </w:rPr>
        <w:t xml:space="preserve">1</w:t>
      </w:r>
      <w:r w:rsidR="00000000" w:rsidRPr="00000000" w:rsidDel="00000000">
        <w:rPr>
          <w:rtl w:val="0"/>
        </w:rPr>
        <w:t xml:space="preserve">, 21.</w:t>
      </w:r>
      <w:r w:rsidR="00000000" w:rsidRPr="00000000" w:rsidDel="00000000">
        <w:rPr>
          <w:vertAlign w:val="superscript"/>
          <w:rtl w:val="0"/>
        </w:rPr>
        <w:t xml:space="preserve">2</w:t>
      </w:r>
      <w:r w:rsidR="00000000" w:rsidRPr="00000000" w:rsidDel="00000000">
        <w:rPr>
          <w:rtl w:val="0"/>
        </w:rPr>
        <w:t xml:space="preserve">, 21.</w:t>
      </w:r>
      <w:r w:rsidR="00000000" w:rsidRPr="00000000" w:rsidDel="00000000">
        <w:rPr>
          <w:vertAlign w:val="superscript"/>
          <w:rtl w:val="0"/>
        </w:rPr>
        <w:t xml:space="preserve">3</w:t>
      </w:r>
      <w:r w:rsidR="00000000" w:rsidRPr="00000000" w:rsidDel="00000000">
        <w:rPr>
          <w:rtl w:val="0"/>
        </w:rPr>
        <w:t xml:space="preserve">, 21.</w:t>
      </w:r>
      <w:r w:rsidR="00000000" w:rsidRPr="00000000" w:rsidDel="00000000">
        <w:rPr>
          <w:vertAlign w:val="superscript"/>
          <w:rtl w:val="0"/>
        </w:rPr>
        <w:t xml:space="preserve">4 </w:t>
      </w:r>
      <w:r w:rsidR="00000000" w:rsidRPr="00000000" w:rsidDel="00000000">
        <w:rPr>
          <w:rtl w:val="0"/>
        </w:rPr>
        <w:t xml:space="preserve">un 21.</w:t>
      </w:r>
      <w:r w:rsidR="00000000" w:rsidRPr="00000000" w:rsidDel="00000000">
        <w:rPr>
          <w:vertAlign w:val="superscript"/>
          <w:rtl w:val="0"/>
        </w:rPr>
        <w:t xml:space="preserve">5</w:t>
      </w:r>
      <w:r w:rsidR="00000000" w:rsidRPr="00000000" w:rsidDel="00000000">
        <w:rPr>
          <w:rtl w:val="0"/>
        </w:rPr>
        <w:t xml:space="preserve"> punktā stājas spēkā 2022. gada 12. augustā.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22-TA-373</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22-TA-373</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noteikumu_konsolidētā_versija_22-TA-373.docx</dc:title>
</cp:coreProperties>
</file>

<file path=docProps/custom.xml><?xml version="1.0" encoding="utf-8"?>
<Properties xmlns="http://schemas.openxmlformats.org/officeDocument/2006/custom-properties" xmlns:vt="http://schemas.openxmlformats.org/officeDocument/2006/docPropsVTypes"/>
</file>