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20. jūnija noteikumos Nr. 325 "Eiropas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20. jūnija noteikumos Nr. 325 "Eiropas Savienības Atveseļošanas un noturības mehānisma plāna 4.1.1.3.i. investīcijas "Atbalsts sekundāro ambulatoro pakalpojumu sniedzēju veselības aprūpes infrastruktūras stiprināšanai, lai nodrošinātu visaptverošu ilgtspējīgu integrētu veselības pakalpojumu, mazinātu infekciju slimību izplatību, epidemioloģisko prasību nodrošināšanā" īstenošanas noteikumi" (Latvijas Vēstnesis, 2023, 119., 223. nr.; 2025, 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"Eiropas Savienības Atveseļošanas un noturības mehānisma plāna 4.1.1.3.i. investīcijas "Atbalsts sekundāro ambulatoro pakalpojumu sniedzēju infrastruktūrai vai aprīkojumam" īstenošanas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Eiropas Savienības Atveseļošanas un noturības mehānisma (turpmāk – Atveseļošanas fonds) plāna 4. komponentes "Veselība" 4.1. reformu un investīciju virziena "Kvalitatīvu un izmaksu efektīvu integrētu veselības aprūpes pakalpojumu pieejamība un veselības aprūpes sistēmas gatavība pakalpojumu nodrošināšanai epidemioloģiskajās krīzēs" 4.1.1.3.i. investīcijas "Atbalsts sekundāro ambulatoro pakalpojumu sniedzēju infrastruktūrai vai aprīkojumam" (turpmāk – investīcija) īstenošanas un uzraudzības kārtību, tostarp:</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investīcijas mērķi;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investīcijas sasaisti un ietekmi uz īstenojamo reformu;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investīcijas 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prasības investīcijas finansējuma saņēmējam;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investīcijas atbalstāmās darbības un izmaksu attiecināmības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projekta īstenošanas nosacījumus un uzraudzības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līguma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Investīcijas mērķis ir stiprināt sekundāro ambulatoro pakalpojumu sniedzēju infrastruktūru vai aprīkojumu."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Investīcijas ietvaros ir sasniedzami šādi rādītāji: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līdz 2024. gada 31. decembrim – sekundāro ambulatoro pakalpojumu sniedzēju skaits ar uzlabotu infrastruktūru vai aprīkojumu – 20 iestādes;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līdz 2026. gada 31. augustam – sekundāro ambulatoro pakalpojumu sniedzēju skaits ar uzlabotu infrastruktūru vai aprīkojumu – 40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finansējuma saņēmējs neatbilst Eiropas Parlamenta un Padomes 2024. gada 23. septembra Regulas (ES, Euratom) Nr. 2024/2509 par finanšu noteikumiem, ko piemēro Savienības vispārējam budžetam, 138. pantā noteiktajiem izslēgšanas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Investīcijas ietvaros kopējais attiecināmais finansējums ir 10 432 859 </w:t>
      </w:r>
      <w:r w:rsidR="00000000" w:rsidRPr="00000000" w:rsidDel="00000000">
        <w:rPr>
          <w:i w:val="1"/>
          <w:rtl w:val="0"/>
        </w:rPr>
        <w:t xml:space="preserve">euro</w:t>
      </w:r>
      <w:r w:rsidR="00000000" w:rsidRPr="00000000" w:rsidDel="00000000">
        <w:rPr>
          <w:rtl w:val="0"/>
        </w:rPr>
        <w:t xml:space="preserve">, tai skaitā Atveseļošanas fonda finansējums – 7 681 420 </w:t>
      </w:r>
      <w:r w:rsidR="00000000" w:rsidRPr="00000000" w:rsidDel="00000000">
        <w:rPr>
          <w:i w:val="1"/>
          <w:rtl w:val="0"/>
        </w:rPr>
        <w:t xml:space="preserve">euro</w:t>
      </w:r>
      <w:r w:rsidR="00000000" w:rsidRPr="00000000" w:rsidDel="00000000">
        <w:rPr>
          <w:rtl w:val="0"/>
        </w:rPr>
        <w:t xml:space="preserve"> un nacionālais finansējums (valsts budžeta un privātais finansējums) – vismaz 2 751 439 </w:t>
      </w:r>
      <w:r w:rsidR="00000000" w:rsidRPr="00000000" w:rsidDel="00000000">
        <w:rPr>
          <w:i w:val="1"/>
          <w:rtl w:val="0"/>
        </w:rPr>
        <w:t xml:space="preserve">euro</w:t>
      </w:r>
      <w:r w:rsidR="00000000" w:rsidRPr="00000000" w:rsidDel="00000000">
        <w:rPr>
          <w:rtl w:val="0"/>
        </w:rPr>
        <w:t xml:space="preserve">, no tā nacionālais valsts budžeta finansējums pievienotās vērtības nodokļa segšanai – ne vairāk kā 104 862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26-TA-698</w:t>
    </w:r>
    <w:r>
      <w:br/>
    </w:r>
    <w:r w:rsidR="00000000" w:rsidRPr="00000000" w:rsidDel="00000000">
      <w:rPr>
        <w:rtl w:val="0"/>
      </w:rPr>
      <w:t xml:space="preserve">Izdrukāts 29.07.2026. 23.38 - 1.0.VK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26-TA-698</w:t>
    </w:r>
    <w:r>
      <w:br/>
    </w:r>
    <w:r w:rsidR="00000000" w:rsidRPr="00000000" w:rsidDel="00000000">
      <w:rPr>
        <w:rtl w:val="0"/>
      </w:rPr>
      <w:t xml:space="preserve">Izdrukāts 29.07.2026. 23.38 - 1.0.VK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noteikumu_(grozījumu)_projekts_26-TA-698.docx</dc:title>
</cp:coreProperties>
</file>

<file path=docProps/custom.xml><?xml version="1.0" encoding="utf-8"?>
<Properties xmlns="http://schemas.openxmlformats.org/officeDocument/2006/custom-properties" xmlns:vt="http://schemas.openxmlformats.org/officeDocument/2006/docPropsVTypes"/>
</file>