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martā (prot. Nr. 13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nacionālās koncertzāles projekta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nacionālās akustiskās koncertzāles būvniecību novietnē – Rīgas Kongresu nams, aptverot šādus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(nekustamā īpašuma kadastra Nr. 0100 010 0121) – zemes vienība (zemes vienības kadastra apzīmējums 0100 010 0121) 7965 m</w:t>
      </w:r>
      <w:r w:rsidR="00000000" w:rsidRPr="00000000" w:rsidDel="00000000">
        <w:rPr>
          <w:vertAlign w:val="superscript"/>
          <w:rtl w:val="0"/>
        </w:rPr>
        <w:t xml:space="preserve">2</w:t>
      </w:r>
      <w:r w:rsidR="00000000" w:rsidRPr="00000000" w:rsidDel="00000000">
        <w:rPr>
          <w:rtl w:val="0"/>
        </w:rPr>
        <w:t xml:space="preserve"> platībā un būve (būves kadastra apzīmējums 0100 010 0121 001) – Krišjāņa Valdemāra ielā 5,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(nekustamā īpašuma kadastra Nr. 0100 010 0120) sastāvā esošās zemes vienības (zemes vienības kadastra apzīmējums 0100 010 0120) daļa aptuveni 0,77 ha platībā (pēc kadastrālās uzmērīšanas platība var tikt precizēta) teritorijā starp Kronvalda un Kalpaka bulvāri,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(nekustamā īpašuma kadastra Nr. 0100 510 0025) – vienstāva pazemes autostāvvieta (būves kadastra apzīmējums 0100 010 0120 002) – Krišjāņa Valdemāra ielā 5A,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līdz 2022. gada 1. maijam vienoties ar Rīgas valstspilsētas pašvaldību par nacionālās koncertzāles projekta īstenošanas modeli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minētajos nekustamajos īpašumos un iesniegt Ministru kabinetā informatīvo ziņojumu par turpmāko rīcību.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Ministru kabineta 2020. gada 18. jūnija rīkojumu Nr. 341 "Par nacionālās koncertzāles projekta īstenošanu" (Latvijas Vēstnesis, 2020, 119.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22-TA-503</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22-TA-503</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rīkojuma_projekts_22-TA-503.docx</dc:title>
</cp:coreProperties>
</file>

<file path=docProps/custom.xml><?xml version="1.0" encoding="utf-8"?>
<Properties xmlns="http://schemas.openxmlformats.org/officeDocument/2006/custom-properties" xmlns:vt="http://schemas.openxmlformats.org/officeDocument/2006/docPropsVTypes"/>
</file>