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15. jūlijā (prot. Nr. 28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3. janvāra noteikumos Nr. 28 "Valsts akciju sabiedrības "Latvijas gaisa satiksme" sniegto aeronavigācijas pakalpojumu maksas noteikšanas un iekasēšanas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28.panta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3. janvāra noteikumos Nr. 28 "Valsts akciju sabiedrības "Latvijas gaisa satiksme" sniegto aeronavigācijas pakalpojumu maksas noteikšanas un iekasēšanas kārtība" (Latvijas Vēstnesis, 2012, 5. nr.; 2013, 184. nr.; 2016, 134. nr.; 2020, 104.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maksu par aeronavigācijas pakalpojumiem termināļa zonā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R = t x N,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 – maksa par sniegtajiem aeronavigācijas pakalpojumiem termināļa zonā;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 vienības maksas likme, kas katru gadu tiek aprēķināta saskaņā ar šo noteikumu 2.</w:t>
      </w:r>
      <w:r w:rsidR="00000000" w:rsidRPr="00000000" w:rsidDel="00000000">
        <w:rPr>
          <w:vertAlign w:val="superscript"/>
          <w:rtl w:val="0"/>
        </w:rPr>
        <w:t xml:space="preserve">1</w:t>
      </w:r>
      <w:r w:rsidR="00000000" w:rsidRPr="00000000" w:rsidDel="00000000">
        <w:rPr>
          <w:rtl w:val="0"/>
        </w:rPr>
        <w:t xml:space="preserve">1., 2.</w:t>
      </w:r>
      <w:r w:rsidR="00000000" w:rsidRPr="00000000" w:rsidDel="00000000">
        <w:rPr>
          <w:vertAlign w:val="superscript"/>
          <w:rtl w:val="0"/>
        </w:rPr>
        <w:t xml:space="preserve">1</w:t>
      </w:r>
      <w:r w:rsidR="00000000" w:rsidRPr="00000000" w:rsidDel="00000000">
        <w:rPr>
          <w:rtl w:val="0"/>
        </w:rPr>
        <w:t xml:space="preserve">2., 2.</w:t>
      </w:r>
      <w:r w:rsidR="00000000" w:rsidRPr="00000000" w:rsidDel="00000000">
        <w:rPr>
          <w:vertAlign w:val="superscript"/>
          <w:rtl w:val="0"/>
        </w:rPr>
        <w:t xml:space="preserve">1</w:t>
      </w:r>
      <w:r w:rsidR="00000000" w:rsidRPr="00000000" w:rsidDel="00000000">
        <w:rPr>
          <w:rtl w:val="0"/>
        </w:rPr>
        <w:t xml:space="preserve">3., 2.</w:t>
      </w:r>
      <w:r w:rsidR="00000000" w:rsidRPr="00000000" w:rsidDel="00000000">
        <w:rPr>
          <w:vertAlign w:val="superscript"/>
          <w:rtl w:val="0"/>
        </w:rPr>
        <w:t xml:space="preserve">1</w:t>
      </w:r>
      <w:r w:rsidR="00000000" w:rsidRPr="00000000" w:rsidDel="00000000">
        <w:rPr>
          <w:rtl w:val="0"/>
        </w:rPr>
        <w:t xml:space="preserve">4., 2.3. apakšpunktu un kuras apmērs ir noteikts šo noteikumu pielikumā;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gaisa kuģa svara faktora koeficients (ar precizitāti – divas zīmes aiz komata), ko aprēķina, metriskajās tonnās izteikto gaisa kuģa maksimālo sertificēto pacelšanās svaru dalot ar 50 un rezultātu kāpinot 0,7 pakāpē;".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vienības maksas likme par aeronavigācijas pakalpojumiem termināļa zonā tiek aprēķināta saskaņā ar Eiropas Parlamenta un Padomes 2004. gada 10. marta Regulas Nr. 550/2004 par aeronavigācijas pakalpojumu sniegšanu vienotajā Eiropas gaisa telpā (Pakalpojumu sniegšanas regula) pamatprincipiem, un izmaksas tiek koriģētas nākamajiem pieciem gadiem, ņemot vērā iepriekšējā gada faktiskās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Vienības maksas likmes nosaka atbilstoši šādai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subjekti, kuru izmaksas ir iekļautas vienības maksā, līdz kārtējā gada 1. maijam iesniedz valsts aģentūrā "Civilās aviācijas aģentūra" (turpmāk – Civilās aviācijas aģentūra) faktiskās pakalpojuma nodrošināšanas izmaksas par iepriekšējo gadu, plānotās izmaksas turpmākajiem pieciem gadiem atbilstoši Komisijas 2019. gada 11. februāra Īstenošanas regulas Nr. 2019/317, ar ko nosaka darbības uzlabošanas sistēmu un tarifikācijas sistēmu Eiropas vienotajā gaisa telpā un atceļ Īstenošanas regulas (ES) Nr. 390/2013 un (ES) Nr. 391/2013  (turpmāk – regula Nr. 2019/317), VII pielikumam un izmaksu pamatojumu kopā ar dokumentiem, kas nepieciešami, lai pārbaudītu aprēķināto likmju pareizību;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Civilās aviācijas aģentūra atbilstoši regulai Nr. 2019/317 pārbauda, vai aprēķinātās izmaksas ietver tikai tos izmaksu posteņus, kas ir attiecināmi un pamatoti;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Civilās aviācijas aģentūra organizē konsultācijas, un subjekti, kuru izmaksas ir ietvertas vienības maksā, līdz katra gada 1. augustam veic kopējas apspriedes ar ieinteresētajām personām, ievērojot Regulas Nr. 2019/317 24. panta 2. punktā un Eiropas Parlamenta un Padomes 2024. gada 23. oktobra Regulas Nr. 2024/2803 par Eiropas vienotās gaisa telpas īstenošanu (turpmāk – regula Nr. 2024/2803) 40. pantā noteiktos principus;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 Civilās aviācijas aģentūra pārbauda iesniegto informāciju, tai skaitā pārliecinās, vai uzklausīti un atbilstoši drošuma apsvērumiem ņemti vērā gaisa telpas lietotāju viedokļi, un  līdz katra gada 1. septembrim apkopo izmaksas, kas precizētas pēc šo noteikumu 2.</w:t>
      </w:r>
      <w:r w:rsidR="00000000" w:rsidRPr="00000000" w:rsidDel="00000000">
        <w:rPr>
          <w:vertAlign w:val="superscript"/>
          <w:rtl w:val="0"/>
        </w:rPr>
        <w:t xml:space="preserve">1 </w:t>
      </w:r>
      <w:r w:rsidR="00000000" w:rsidRPr="00000000" w:rsidDel="00000000">
        <w:rPr>
          <w:rtl w:val="0"/>
        </w:rPr>
        <w:t xml:space="preserve">3. apakšpunktā minētajām konsultācijām, un iesniedz tās Satiksmes ministrijā;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 vienības maksas likme tiek pārskatīta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Regulas Nr. 2019/317 31. panta 3. punktā minētie lidojumi;".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valsts un robežsardzes gaisa kuģi;".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valsts nozīmes lidojumi;".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Saskaņā ar regulas Nr. 2019/317 31. panta 6. punktu izmaksas par pakalpojumiem, ko Latvijas gaisa satiksme sniedz šo noteikumu 3. punktā minētajiem lidojumiem, sedz Aizsardzības ministrija, Ārlietu ministrija un Iekšlietu ministrija no to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25-TA-74</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25-TA-74</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noteikumu_(grozījumu)_projekts_25-TA-74.docx</dc:title>
</cp:coreProperties>
</file>

<file path=docProps/custom.xml><?xml version="1.0" encoding="utf-8"?>
<Properties xmlns="http://schemas.openxmlformats.org/officeDocument/2006/custom-properties" xmlns:vt="http://schemas.openxmlformats.org/officeDocument/2006/docPropsVTypes"/>
</file>