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septembrī (prot. Nr. 36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 (Latvijas Vēstnesis, 2023, 90.,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līdz 2026. gada 30. jūnijam sasniedzamais mērķis: investīcijas bezemisiju transportā (elektroautobusi un uzlādes stacijas) – 24;".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līdz 2025. gada 30. septembrim sasniedzamais uzraudzības rādītājs: kumulatīvais piegādāto elektroautobusu un izbūvēto autobusu uzlādes staciju skaits – 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finansējuma saņēmēja apliecinājums par šo noteikumu 13. punktā minēto: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38.1.1. jaunu sabiedriskā transporta vienību piegādi un ekspluatācijas uzsākšanu;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38.1.2. uzlādes punktu būvniecības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Ja tiek pārkāpti regulas Nr. 1370/2007 nosacījumi, 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24-TA-1741</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24-TA-1741</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noteikumu_(grozījumu)_projekts_24-TA-1741.docx</dc:title>
</cp:coreProperties>
</file>

<file path=docProps/custom.xml><?xml version="1.0" encoding="utf-8"?>
<Properties xmlns="http://schemas.openxmlformats.org/officeDocument/2006/custom-properties" xmlns:vt="http://schemas.openxmlformats.org/officeDocument/2006/docPropsVTypes"/>
</file>