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Mātes un bērna veselības uzlabošanas plānu 2025.–2027.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Mātes un bērna veselības uzlabošanas plānu 2025.–2027.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plāna īstenošanas vadībā, koordinācijā un pārraudzībā.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paredzēto pasākumu īstenošanu iesaistītajām institūcijām 2025. gadā nodrošināt atbilstoši likumā "Par valsts budžetu 2025. gadam un budžeta ietvaru 2025., 2026. un 2027. gadam" paredzētajam finansējumam, savukārt finansējumu 2026. gadam 13 825 031 </w:t>
      </w:r>
      <w:r w:rsidR="00000000" w:rsidRPr="00000000" w:rsidDel="00000000">
        <w:rPr>
          <w:i w:val="1"/>
          <w:rtl w:val="0"/>
        </w:rPr>
        <w:t xml:space="preserve">euro </w:t>
      </w:r>
      <w:r w:rsidR="00000000" w:rsidRPr="00000000" w:rsidDel="00000000">
        <w:rPr>
          <w:rtl w:val="0"/>
        </w:rPr>
        <w:t xml:space="preserve">apmērā, kā arī 2027. gadam un turpmāk ik gadu 13 614 273 </w:t>
      </w:r>
      <w:r w:rsidR="00000000" w:rsidRPr="00000000" w:rsidDel="00000000">
        <w:rPr>
          <w:i w:val="1"/>
          <w:rtl w:val="0"/>
        </w:rPr>
        <w:t xml:space="preserve">euro </w:t>
      </w:r>
      <w:r w:rsidR="00000000" w:rsidRPr="00000000" w:rsidDel="00000000">
        <w:rPr>
          <w:rtl w:val="0"/>
        </w:rPr>
        <w:t xml:space="preserve">apmērā atbilstoši Ministru kabineta 2025. gada 22. septembra sēdes protokollēmuma (prot. Nr. 38 1. §) "Informatīvais ziņojums "Par valsts budžeta likumprojektā iekļaujamiem prioritārajiem pasākumiem 2026., 2027. un 2028. gadam"" 2. punktam nodrošināt prioritāro pasākumu ietvaros. Jautājumu par papildu valsts budžeta līdzekļu piešķiršanu plānā paredzēto pasākumu īstenošanai 2027. gadā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25-TA-616</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25-TA-616</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rīkojuma_projekts_25-TA-616.docx</dc:title>
</cp:coreProperties>
</file>

<file path=docProps/custom.xml><?xml version="1.0" encoding="utf-8"?>
<Properties xmlns="http://schemas.openxmlformats.org/officeDocument/2006/custom-properties" xmlns:vt="http://schemas.openxmlformats.org/officeDocument/2006/docPropsVTypes"/>
</file>