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Kritēriji prognozējamas invaliditātes noteikšanai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Prognozējamu invaliditāti nosaka, ja apstiprinās visi šādi kritēriji: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Pārejoša darbnespēja un (vai) nepārtraukta ārstēšana turpinās 26 nedēļas, ko apliecina ārstējošā ārsta izsniegtie dokumenti.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Personai ir būtiski slimības vai traumas radīti funkcionēšanas ierobežojumi, kuri vēl nav uzskatāmi par pietiekami stabiliem un nemainīgiem nākamo sešu mēnešu laikā.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Ārstējošā ārsta sagatavotajā individuālajā rehabilitācijas plāna projektā ir norādīti: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veiktie ārstēšanas un rehabilitācijas pasākumi hronoloģiskā secībā;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paredzētie ārstēšanas pasākumi;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pamatojums turpmākās medicīniskās rehabilitācijas nepieciešamībai;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ārstēšanas un medicīniskās rehabilitācijas laikposmi un termiņi;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ārstēšanas un rehabilitācijas pasākumu prognozējamie rezultāti.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22-TA-346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