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F150A" w14:textId="77777777" w:rsidR="00DF648C" w:rsidRPr="008663E9" w:rsidRDefault="00DF648C" w:rsidP="00DF648C">
      <w:pPr>
        <w:keepNext/>
        <w:widowControl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8663E9">
        <w:rPr>
          <w:rFonts w:ascii="Times New Roman" w:eastAsia="Times New Roman" w:hAnsi="Times New Roman"/>
          <w:sz w:val="20"/>
          <w:szCs w:val="20"/>
        </w:rPr>
        <w:t>3. pielikums</w:t>
      </w:r>
    </w:p>
    <w:p w14:paraId="7B87227B" w14:textId="77777777" w:rsidR="00DF648C" w:rsidRPr="008663E9" w:rsidRDefault="00DF648C" w:rsidP="00DF648C">
      <w:pPr>
        <w:keepNext/>
        <w:widowControl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8663E9">
        <w:rPr>
          <w:rFonts w:ascii="Times New Roman" w:eastAsia="Times New Roman" w:hAnsi="Times New Roman"/>
          <w:sz w:val="20"/>
          <w:szCs w:val="20"/>
        </w:rPr>
        <w:t>Ministru kabineta</w:t>
      </w:r>
    </w:p>
    <w:p w14:paraId="0A42C0A6" w14:textId="77777777" w:rsidR="00DF648C" w:rsidRPr="008663E9" w:rsidRDefault="00DF648C" w:rsidP="00DF648C">
      <w:pPr>
        <w:keepNext/>
        <w:widowControl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8663E9">
        <w:rPr>
          <w:rFonts w:ascii="Times New Roman" w:eastAsia="Times New Roman" w:hAnsi="Times New Roman"/>
          <w:sz w:val="20"/>
          <w:szCs w:val="20"/>
        </w:rPr>
        <w:t>2011.gada 24.maija</w:t>
      </w:r>
    </w:p>
    <w:p w14:paraId="3DE54C70" w14:textId="77777777" w:rsidR="00DF648C" w:rsidRPr="008663E9" w:rsidRDefault="00DF648C" w:rsidP="00DF648C">
      <w:pPr>
        <w:keepNext/>
        <w:widowControl/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</w:rPr>
      </w:pPr>
      <w:r w:rsidRPr="008663E9">
        <w:rPr>
          <w:rFonts w:ascii="Times New Roman" w:eastAsia="Times New Roman" w:hAnsi="Times New Roman"/>
          <w:sz w:val="20"/>
          <w:szCs w:val="20"/>
        </w:rPr>
        <w:t>noteikumiem Nr. 411</w:t>
      </w:r>
    </w:p>
    <w:p w14:paraId="20B23E01" w14:textId="77777777" w:rsidR="00DF648C" w:rsidRPr="008663E9" w:rsidRDefault="00DF648C" w:rsidP="00DF648C">
      <w:pPr>
        <w:widowControl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7101739E" w14:textId="77777777" w:rsidR="00DF648C" w:rsidRPr="008663E9" w:rsidRDefault="00DF648C" w:rsidP="00DF648C">
      <w:pPr>
        <w:widowControl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 w:rsidRPr="008663E9">
        <w:rPr>
          <w:rFonts w:ascii="Times New Roman" w:eastAsia="Times New Roman" w:hAnsi="Times New Roman"/>
          <w:b/>
          <w:sz w:val="24"/>
          <w:szCs w:val="24"/>
        </w:rPr>
        <w:t>Vienotā formula transporta uzņēmumu riska novērtējuma aprēķināšanai un prasības tās piemērošanai</w:t>
      </w:r>
    </w:p>
    <w:p w14:paraId="26A3FCDB" w14:textId="77777777" w:rsidR="00DF648C" w:rsidRDefault="00DF648C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57070361" w14:textId="77777777" w:rsidR="00DF648C" w:rsidRDefault="00DF648C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0E68BD1A" w14:textId="1AE38CF9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1.</w:t>
      </w:r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Transporta uzņēmuma vispārējo riska novērtējumu aprēķina, izmantojot šādu vienotu formulu:</w:t>
      </w:r>
    </w:p>
    <w:p w14:paraId="632B4A50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0ECEBDED" w14:textId="77777777" w:rsidR="007B25B3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0"/>
        </w:rPr>
      </w:pPr>
      <w:r w:rsidRPr="008663E9">
        <w:rPr>
          <w:rFonts w:ascii="Times New Roman" w:eastAsia="Times New Roman" w:hAnsi="Times New Roman"/>
          <w:sz w:val="20"/>
        </w:rPr>
        <w:t xml:space="preserve"> </w:t>
      </w:r>
    </w:p>
    <w:p w14:paraId="2C58DEED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0"/>
        </w:rPr>
      </w:pPr>
    </w:p>
    <w:p w14:paraId="686CFBEB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sz w:val="20"/>
        </w:rPr>
        <w:fldChar w:fldCharType="begin"/>
      </w:r>
      <w:r>
        <w:rPr>
          <w:rFonts w:ascii="Times New Roman" w:eastAsia="Times New Roman" w:hAnsi="Times New Roman"/>
          <w:sz w:val="20"/>
        </w:rPr>
        <w:instrText xml:space="preserve"> INCLUDEPICTURE  "https://eur-lex.europa.eu/resource.html?uri=uriserv:OJ.L_.2022.129.01.0033.01.LAV.xhtml.L_2022129LV.01003502.tif.jpg" \* MERGEFORMATINET </w:instrText>
      </w:r>
      <w:r>
        <w:rPr>
          <w:rFonts w:ascii="Times New Roman" w:eastAsia="Times New Roman" w:hAnsi="Times New Roman"/>
          <w:sz w:val="20"/>
        </w:rPr>
        <w:fldChar w:fldCharType="separate"/>
      </w:r>
      <w:r>
        <w:rPr>
          <w:rFonts w:ascii="Times New Roman" w:eastAsia="Times New Roman" w:hAnsi="Times New Roman"/>
          <w:sz w:val="20"/>
        </w:rPr>
        <w:fldChar w:fldCharType="begin"/>
      </w:r>
      <w:r>
        <w:rPr>
          <w:rFonts w:ascii="Times New Roman" w:eastAsia="Times New Roman" w:hAnsi="Times New Roman"/>
          <w:sz w:val="20"/>
        </w:rPr>
        <w:instrText xml:space="preserve"> INCLUDEPICTURE  "https://eur-lex.europa.eu/resource.html?uri=uriserv:OJ.L_.2022.129.01.0033.01.LAV.xhtml.L_2022129LV.01003502.tif.jpg" \* MERGEFORMATINET </w:instrText>
      </w:r>
      <w:r>
        <w:rPr>
          <w:rFonts w:ascii="Times New Roman" w:eastAsia="Times New Roman" w:hAnsi="Times New Roman"/>
          <w:sz w:val="20"/>
        </w:rPr>
        <w:fldChar w:fldCharType="separate"/>
      </w:r>
      <w:r w:rsidR="000D703B">
        <w:rPr>
          <w:rFonts w:ascii="Times New Roman" w:eastAsia="Times New Roman" w:hAnsi="Times New Roman"/>
          <w:sz w:val="20"/>
        </w:rPr>
        <w:fldChar w:fldCharType="begin"/>
      </w:r>
      <w:r w:rsidR="000D703B">
        <w:rPr>
          <w:rFonts w:ascii="Times New Roman" w:eastAsia="Times New Roman" w:hAnsi="Times New Roman"/>
          <w:sz w:val="20"/>
        </w:rPr>
        <w:instrText xml:space="preserve"> INCLUDEPICTURE  "https://eur-lex.europa.eu/resource.html?uri=uriserv:OJ.L_.2022.129.01.0033.01.LAV.xhtml.L_2022129LV.01003502.tif.jpg" \* MERGEFORMATINET </w:instrText>
      </w:r>
      <w:r w:rsidR="000D703B">
        <w:rPr>
          <w:rFonts w:ascii="Times New Roman" w:eastAsia="Times New Roman" w:hAnsi="Times New Roman"/>
          <w:sz w:val="20"/>
        </w:rPr>
        <w:fldChar w:fldCharType="separate"/>
      </w:r>
      <w:r w:rsidR="0018185C">
        <w:rPr>
          <w:rFonts w:ascii="Times New Roman" w:eastAsia="Times New Roman" w:hAnsi="Times New Roman"/>
          <w:sz w:val="20"/>
        </w:rPr>
        <w:fldChar w:fldCharType="begin"/>
      </w:r>
      <w:r w:rsidR="0018185C">
        <w:rPr>
          <w:rFonts w:ascii="Times New Roman" w:eastAsia="Times New Roman" w:hAnsi="Times New Roman"/>
          <w:sz w:val="20"/>
        </w:rPr>
        <w:instrText xml:space="preserve"> </w:instrText>
      </w:r>
      <w:r w:rsidR="0018185C">
        <w:rPr>
          <w:rFonts w:ascii="Times New Roman" w:eastAsia="Times New Roman" w:hAnsi="Times New Roman"/>
          <w:sz w:val="20"/>
        </w:rPr>
        <w:instrText>INCLUDEPICTURE  "https://eur-lex.europa.eu/resource.html?uri=uriserv:OJ.L_.2022.129.01.0033.01.LAV.xhtml.L_2022129LV.01003502.tif.jpg" \* MERGEFORMATINET</w:instrText>
      </w:r>
      <w:r w:rsidR="0018185C">
        <w:rPr>
          <w:rFonts w:ascii="Times New Roman" w:eastAsia="Times New Roman" w:hAnsi="Times New Roman"/>
          <w:sz w:val="20"/>
        </w:rPr>
        <w:instrText xml:space="preserve"> </w:instrText>
      </w:r>
      <w:r w:rsidR="0018185C">
        <w:rPr>
          <w:rFonts w:ascii="Times New Roman" w:eastAsia="Times New Roman" w:hAnsi="Times New Roman"/>
          <w:sz w:val="20"/>
        </w:rPr>
        <w:fldChar w:fldCharType="separate"/>
      </w:r>
      <w:r w:rsidR="0018185C">
        <w:rPr>
          <w:rFonts w:ascii="Times New Roman" w:eastAsia="Times New Roman" w:hAnsi="Times New Roman"/>
          <w:sz w:val="20"/>
        </w:rPr>
        <w:pict w14:anchorId="720394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Image 1" style="width:248.5pt;height:38pt">
            <v:imagedata r:id="rId5" r:href="rId6"/>
          </v:shape>
        </w:pict>
      </w:r>
      <w:r w:rsidR="0018185C">
        <w:rPr>
          <w:rFonts w:ascii="Times New Roman" w:eastAsia="Times New Roman" w:hAnsi="Times New Roman"/>
          <w:sz w:val="20"/>
        </w:rPr>
        <w:fldChar w:fldCharType="end"/>
      </w:r>
      <w:r w:rsidR="000D703B">
        <w:rPr>
          <w:rFonts w:ascii="Times New Roman" w:eastAsia="Times New Roman" w:hAnsi="Times New Roman"/>
          <w:sz w:val="20"/>
        </w:rPr>
        <w:fldChar w:fldCharType="end"/>
      </w:r>
      <w:r>
        <w:rPr>
          <w:rFonts w:ascii="Times New Roman" w:eastAsia="Times New Roman" w:hAnsi="Times New Roman"/>
          <w:sz w:val="20"/>
        </w:rPr>
        <w:fldChar w:fldCharType="end"/>
      </w:r>
      <w:r>
        <w:rPr>
          <w:rFonts w:ascii="Times New Roman" w:eastAsia="Times New Roman" w:hAnsi="Times New Roman"/>
          <w:sz w:val="20"/>
        </w:rPr>
        <w:fldChar w:fldCharType="end"/>
      </w:r>
    </w:p>
    <w:p w14:paraId="38094DB3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0"/>
        </w:rPr>
      </w:pPr>
    </w:p>
    <w:p w14:paraId="57F69202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0"/>
        </w:rPr>
      </w:pPr>
    </w:p>
    <w:p w14:paraId="294C4998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kur:</w:t>
      </w:r>
    </w:p>
    <w:p w14:paraId="6EB01126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738EE333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R — uzņēmuma vispārējais riska novērtējums,</w:t>
      </w:r>
    </w:p>
    <w:p w14:paraId="4BAF1A3B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178E2945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n — konkrēta veida pārkāpumu skaits katrā atsevišķā pārbaudē (visi kontroles veidi),</w:t>
      </w:r>
    </w:p>
    <w:p w14:paraId="43D1FBC1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69B40416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i — atsevišķa pārbaude,</w:t>
      </w:r>
    </w:p>
    <w:p w14:paraId="3A0DAC30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3993925E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v — svērtais skaitliskais vērtējums atkarībā no pārkāpuma veida/smaguma (MI/SI/VSI/MSI),</w:t>
      </w:r>
    </w:p>
    <w:p w14:paraId="6D62ED52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07376671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MSI — vissmagākais pārkāpums (</w:t>
      </w:r>
      <w:proofErr w:type="spellStart"/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most</w:t>
      </w:r>
      <w:proofErr w:type="spellEnd"/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serious</w:t>
      </w:r>
      <w:proofErr w:type="spellEnd"/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infringement</w:t>
      </w:r>
      <w:proofErr w:type="spellEnd"/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),</w:t>
      </w:r>
    </w:p>
    <w:p w14:paraId="7361B612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0692B326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VSI — ļoti smags pārkāpums (</w:t>
      </w:r>
      <w:proofErr w:type="spellStart"/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very</w:t>
      </w:r>
      <w:proofErr w:type="spellEnd"/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serious</w:t>
      </w:r>
      <w:proofErr w:type="spellEnd"/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infringement</w:t>
      </w:r>
      <w:proofErr w:type="spellEnd"/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),</w:t>
      </w:r>
    </w:p>
    <w:p w14:paraId="44EF6DC7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3053553E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SI — smags pārkāpums (</w:t>
      </w:r>
      <w:proofErr w:type="spellStart"/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serious</w:t>
      </w:r>
      <w:proofErr w:type="spellEnd"/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infringement</w:t>
      </w:r>
      <w:proofErr w:type="spellEnd"/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),</w:t>
      </w:r>
    </w:p>
    <w:p w14:paraId="07F9FF39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1CC0DD10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 xml:space="preserve">MI — neliels pārkāpums (minor </w:t>
      </w:r>
      <w:proofErr w:type="spellStart"/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infringement</w:t>
      </w:r>
      <w:proofErr w:type="spellEnd"/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),</w:t>
      </w:r>
    </w:p>
    <w:p w14:paraId="2DED80DC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0B754DCB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N — atsevišķas pārbaudes laikā kontrolēto transportlīdzekļu skaits,</w:t>
      </w:r>
    </w:p>
    <w:p w14:paraId="2E361E5E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6D37C9C6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r — kopējais uzņēmuma pārbaužu skaits,</w:t>
      </w:r>
    </w:p>
    <w:p w14:paraId="104491AA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3194ED6B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 xml:space="preserve">g — svērums, kas atspoguļo viedā </w:t>
      </w:r>
      <w:proofErr w:type="spellStart"/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tahogrāfa</w:t>
      </w:r>
      <w:proofErr w:type="spellEnd"/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 xml:space="preserve"> izmantošanu atbilstoši Regulas (ES) Nr. 165/2014 II nodaļai.</w:t>
      </w:r>
    </w:p>
    <w:p w14:paraId="3964E05D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6E0015FE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2. Piemērojot vienoto formulu, izmanto šādus principus un elementus.</w:t>
      </w:r>
    </w:p>
    <w:p w14:paraId="145892AF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24FFFC26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3.Laikposms, kurā pārkāpums tiek ieskaitīts formulā, ir divi gadi.</w:t>
      </w:r>
    </w:p>
    <w:p w14:paraId="0B78F69B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3A993FA6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lastRenderedPageBreak/>
        <w:t>4.Transporta uzņēmumus, pamatojoties uz to skaitlisko vērtējumu, klasificē šādos riska diapazonos:</w:t>
      </w:r>
    </w:p>
    <w:p w14:paraId="242B84A5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348C7067" w14:textId="77777777" w:rsidR="007B25B3" w:rsidRPr="008663E9" w:rsidRDefault="007B25B3" w:rsidP="007B25B3">
      <w:pPr>
        <w:widowControl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 xml:space="preserve">uzņēmumi, kuru pārbaudes nav veiktas (pelēkais diapazons), </w:t>
      </w:r>
    </w:p>
    <w:p w14:paraId="0AC0FDAE" w14:textId="77777777" w:rsidR="007B25B3" w:rsidRPr="008663E9" w:rsidRDefault="007B25B3" w:rsidP="007B25B3">
      <w:pPr>
        <w:widowControl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 xml:space="preserve">0–100 punkti: zema riska uzņēmumi (zaļais diapazons), </w:t>
      </w:r>
    </w:p>
    <w:p w14:paraId="28D0C305" w14:textId="77777777" w:rsidR="007B25B3" w:rsidRPr="008663E9" w:rsidRDefault="007B25B3" w:rsidP="007B25B3">
      <w:pPr>
        <w:widowControl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 xml:space="preserve">101–200 punkti: vidēja riska uzņēmumi (dzeltenais diapazons), </w:t>
      </w:r>
    </w:p>
    <w:p w14:paraId="6BD6633E" w14:textId="77777777" w:rsidR="007B25B3" w:rsidRPr="008663E9" w:rsidRDefault="007B25B3" w:rsidP="007B25B3">
      <w:pPr>
        <w:widowControl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201 punkts vai vairāk: augsta riska uzņēmumi (sarkanais diapazons).</w:t>
      </w:r>
    </w:p>
    <w:p w14:paraId="1AAA25DB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0C7AFE6E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5. Atsevišķas pārbaudes (“i”) svērto skaitlisko vērtējumu aprēķina, piemērojot šādus svēruma koeficientus (“v”) atkarībā no pārkāpuma veida:</w:t>
      </w:r>
    </w:p>
    <w:p w14:paraId="657F7A74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6689B2B1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MI = 1</w:t>
      </w:r>
    </w:p>
    <w:p w14:paraId="4B99287C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SI = 10</w:t>
      </w:r>
    </w:p>
    <w:p w14:paraId="4DB3045F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VSI = 30</w:t>
      </w:r>
    </w:p>
    <w:p w14:paraId="67BB9CDB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MSI = 90</w:t>
      </w:r>
    </w:p>
    <w:p w14:paraId="237D706D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1E4ECA89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6. Uzņēmuma galīgajā riska novērtējumā ņem vērā gan uz ceļiem, gan uzņēmuma telpās veikto pārbaužu kopējo skaitu (“r”), ieskaitot pārbaudes, kurās pārkāpumi nav konstatēti.</w:t>
      </w:r>
    </w:p>
    <w:p w14:paraId="4FBCA171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128A4452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7. Pārbaudes, kurās pārkāpumi nav konstatēti, reģistrē, nepiešķirot nevienu punktu.</w:t>
      </w:r>
    </w:p>
    <w:p w14:paraId="5D6BB037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07541130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8. Atsevišķas pārbaudes svērtajā skaitliskajā vērtējumā ņem vērā visus pārbaudītos transportlīdzekļus (“N”).</w:t>
      </w:r>
    </w:p>
    <w:p w14:paraId="3F2424CC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68A46F16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9. Par tāda pārkāpuma datumu, kas tiek ņemts vērā vienotajā formulā, uzskata datumu, kurā pārkāpums kļuvis galīgs, t. i., to vairs nevar pārskatīt. Pārkāpumus formulā ieskaita tikai vienu reizi.</w:t>
      </w:r>
    </w:p>
    <w:p w14:paraId="07469C0D" w14:textId="77777777" w:rsidR="007B25B3" w:rsidRPr="008663E9" w:rsidRDefault="007B25B3" w:rsidP="007B25B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443E5300" w14:textId="3ADD5845" w:rsidR="008C7253" w:rsidRDefault="007B25B3" w:rsidP="007B25B3"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 xml:space="preserve">10. Ja, veicot pārbaudi transporta uzņēmuma telpās, konstatē, ka viss tā autoparks ir aprīkots ar viedo </w:t>
      </w:r>
      <w:proofErr w:type="spellStart"/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>tahogrāfu</w:t>
      </w:r>
      <w:proofErr w:type="spellEnd"/>
      <w:r w:rsidRPr="008663E9">
        <w:rPr>
          <w:rFonts w:ascii="Times New Roman" w:eastAsia="Times New Roman" w:hAnsi="Times New Roman"/>
          <w:sz w:val="24"/>
          <w:szCs w:val="24"/>
          <w:lang w:eastAsia="lv-LV"/>
        </w:rPr>
        <w:t xml:space="preserve"> atbilstoši Regulas (ES) Nr. 165/2014 II nodaļai, tā galīgo skaitlisko vērtējumu reizina ar koeficientu 0,9 (“g”).</w:t>
      </w:r>
    </w:p>
    <w:sectPr w:rsidR="008C72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5B4658"/>
    <w:multiLevelType w:val="hybridMultilevel"/>
    <w:tmpl w:val="DE4E0238"/>
    <w:lvl w:ilvl="0" w:tplc="94B6AD7A">
      <w:start w:val="2"/>
      <w:numFmt w:val="bullet"/>
      <w:lvlText w:val="—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A5AC3EC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5B05F7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CB2CA8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83ADE8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A9441DF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19CA03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DEE58F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8474FE2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85777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A7A"/>
    <w:rsid w:val="00025A7A"/>
    <w:rsid w:val="000D703B"/>
    <w:rsid w:val="0018185C"/>
    <w:rsid w:val="007B25B3"/>
    <w:rsid w:val="008C7253"/>
    <w:rsid w:val="00DF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E98BB8D"/>
  <w15:chartTrackingRefBased/>
  <w15:docId w15:val="{60217E54-1C01-437D-B374-64156E656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5B3"/>
    <w:pPr>
      <w:widowControl w:val="0"/>
      <w:spacing w:after="200" w:line="276" w:lineRule="auto"/>
    </w:pPr>
    <w:rPr>
      <w:rFonts w:ascii="Calibri" w:eastAsia="Calibri" w:hAnsi="Calibri" w:cs="Times New Roman"/>
      <w:kern w:val="0"/>
      <w:sz w:val="22"/>
      <w:lang w:val="lv-LV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eur-lex.europa.eu/resource.html?uri=uriserv:OJ.L_.2022.129.01.0033.01.LAV.xhtml.L_2022129LV.01003502.tif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Vienotā formula_3.piel_MK_not_411</dc:title>
  <dc:subject/>
  <dc:creator>Inga Lukjanoviča</dc:creator>
  <cp:keywords/>
  <dc:description/>
  <cp:lastModifiedBy>Inga Lukjanoviča</cp:lastModifiedBy>
  <cp:revision>2</cp:revision>
  <dcterms:created xsi:type="dcterms:W3CDTF">2023-06-08T16:35:00Z</dcterms:created>
  <dcterms:modified xsi:type="dcterms:W3CDTF">2023-06-08T16:35:00Z</dcterms:modified>
</cp:coreProperties>
</file>