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martā (prot. Nr. 9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nacionālās gvardes militārajām vienībām, Harkivas apgabala Bohodukhivas rajona administrācijai, Sumu apgabala bērnu klīniskajai slimnīcai)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25-TA-390</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25-TA-390</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rīkojuma_projekts_25-TA-390.docx</dc:title>
</cp:coreProperties>
</file>

<file path=docProps/custom.xml><?xml version="1.0" encoding="utf-8"?>
<Properties xmlns="http://schemas.openxmlformats.org/officeDocument/2006/custom-properties" xmlns:vt="http://schemas.openxmlformats.org/officeDocument/2006/docPropsVTypes"/>
</file>