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Labklājības ministrijai (Valsts sociālās apdrošināšanas aģentūrai) finansējumu, kas nepārsniedz 187 928 726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finansējumu, kas nepārsniedz 187 902 300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Covid-19 infekcijas izplatības seku pārvarēšanas likuma 62., 63. un 63.</w:t>
      </w:r>
      <w:r w:rsidR="00000000" w:rsidRPr="00000000" w:rsidDel="00000000">
        <w:rPr>
          <w:vertAlign w:val="superscript"/>
          <w:rtl w:val="0"/>
        </w:rPr>
        <w:t xml:space="preserve">1 </w:t>
      </w:r>
      <w:r w:rsidR="00000000" w:rsidRPr="00000000" w:rsidDel="00000000">
        <w:rPr>
          <w:rtl w:val="0"/>
        </w:rPr>
        <w:t xml:space="preserve">pantam nodrošinātu vienreizēja atbalsta izmaksu bērna vecākam, aizbildnim, audžuģimenei vai ilgstošas sociālās aprūpes un sociālās rehabilitācijas institūcijas vadītājam 500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par katru bērnu;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26 426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Valsts sociālās apdrošināšanas aģentūras informācijas tehnoloģiju sistēmu pielāgošanai.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normatīvajos aktos noteiktajā kārtībā sagatavot un iesniegt Finanšu ministrijā pieprasījumu par šā rīkojuma 1. punktā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punktam un, ja Saeimas Budžeta un finanšu (nodokļu) komisija piecu darbdienu laikā pēc attiecīgās informācijas saņemšanas nav izteikusi iebildumus, veikt apropriācijas izmaiņas.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21-TA-1499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21-TA-1499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rīkojuma_konsolidētā_versija_21-TA-1499.docx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