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2.3.1. specifiskā atbalsta mērķa "Veicināt ilgtspējīgu daudzveidu mobilitāti pilsētās" 2.3.1.3. pasākuma  "Veloinfrastruktūras attīstība"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br/>
      </w:r>
      <w:r w:rsidR="00000000" w:rsidRPr="00000000" w:rsidDel="00000000">
        <w:rPr>
          <w:rStyle w:val="paragraph"/>
          <w:i w:val="1"/>
          <w:rtl w:val="0"/>
        </w:rPr>
        <w:t xml:space="preserve">Eiropas Savienības fondu 2021.</w:t>
      </w:r>
      <w:r w:rsidR="00000000" w:rsidRPr="00000000" w:rsidDel="00000000">
        <w:rPr>
          <w:rStyle w:val="paragraph"/>
          <w:i w:val="1"/>
          <w:rtl w:val="0"/>
        </w:rPr>
        <w:t xml:space="preserve">–</w:t>
      </w:r>
      <w:r w:rsidR="00000000" w:rsidRPr="00000000" w:rsidDel="00000000">
        <w:rPr>
          <w:rStyle w:val="paragraph"/>
          <w:i w:val="1"/>
          <w:rtl w:val="0"/>
        </w:rPr>
        <w:t xml:space="preserve">2027. gada plānošanas perioda vadības likuma</w:t>
      </w:r>
      <w:r w:rsidR="00000000" w:rsidRPr="00000000" w:rsidDel="00000000">
        <w:rPr>
          <w:rStyle w:val="paragraph"/>
          <w:i w:val="1"/>
          <w:rtl w:val="0"/>
        </w:rPr>
        <w:t xml:space="preserve"> </w:t>
      </w:r>
      <w:r w:rsidR="00000000" w:rsidRPr="00000000" w:rsidDel="00000000">
        <w:rPr>
          <w:rStyle w:val="paragraph"/>
          <w:i w:val="1"/>
          <w:rtl w:val="0"/>
        </w:rPr>
        <w:t xml:space="preserve">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prioritārā virziena "Ilgtspējīga mobilitāte" 2.3.1. specifiskā atbalsta mērķa "Veicināt ilgtspējīgu daudzveidu mobilitāti pilsētās" 2.3.1.3. pasākumu "Veloinfrastruktūras attīstība"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 un mērķa grupu;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attīstīt nepārtrauktu velosipēdu ceļu, tostarp kopīgu gājēju un velosipēdu ceļu, infrastruktūras izveidi gar autoceļiem un dzelzceļiem, veicinot nemotorizēto mobilitāti.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 satiksmes dalībnieki un iedzīvotāji.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Pasākumam plānotais kopējais finansējums ir 26 461 636 </w:t>
      </w:r>
      <w:r w:rsidR="00000000" w:rsidRPr="00000000" w:rsidDel="00000000">
        <w:rPr>
          <w:i w:val="1"/>
          <w:rtl w:val="0"/>
        </w:rPr>
        <w:t xml:space="preserve">euro</w:t>
      </w:r>
      <w:r w:rsidR="00000000" w:rsidRPr="00000000" w:rsidDel="00000000">
        <w:rPr>
          <w:rtl w:val="0"/>
        </w:rPr>
        <w:t xml:space="preserve"> (no tā elastības finansējums 4 173 671 </w:t>
      </w:r>
      <w:r w:rsidR="00000000" w:rsidRPr="00000000" w:rsidDel="00000000">
        <w:rPr>
          <w:i w:val="1"/>
          <w:rtl w:val="0"/>
        </w:rPr>
        <w:t xml:space="preserve">euro</w:t>
      </w:r>
      <w:r w:rsidR="00000000" w:rsidRPr="00000000" w:rsidDel="00000000">
        <w:rPr>
          <w:rtl w:val="0"/>
        </w:rPr>
        <w:t xml:space="preserve">), tai skaitā Eiropas Reģionālās attīstības fonda (turpmāk – ERAF) finansējums 22 492 390 </w:t>
      </w:r>
      <w:r w:rsidR="00000000" w:rsidRPr="00000000" w:rsidDel="00000000">
        <w:rPr>
          <w:i w:val="1"/>
          <w:rtl w:val="0"/>
        </w:rPr>
        <w:t xml:space="preserve">euro</w:t>
      </w:r>
      <w:r w:rsidR="00000000" w:rsidRPr="00000000" w:rsidDel="00000000">
        <w:rPr>
          <w:rtl w:val="0"/>
        </w:rPr>
        <w:t xml:space="preserve"> (no tā elastības finansējums 3 547 620 </w:t>
      </w:r>
      <w:r w:rsidR="00000000" w:rsidRPr="00000000" w:rsidDel="00000000">
        <w:rPr>
          <w:i w:val="1"/>
          <w:rtl w:val="0"/>
        </w:rPr>
        <w:t xml:space="preserve">euro</w:t>
      </w:r>
      <w:r w:rsidR="00000000" w:rsidRPr="00000000" w:rsidDel="00000000">
        <w:rPr>
          <w:rtl w:val="0"/>
        </w:rPr>
        <w:t xml:space="preserve">) un nacionālais finansējums (valsts budžeta finansējums) 3 969 246 </w:t>
      </w:r>
      <w:r w:rsidR="00000000" w:rsidRPr="00000000" w:rsidDel="00000000">
        <w:rPr>
          <w:i w:val="1"/>
          <w:rtl w:val="0"/>
        </w:rPr>
        <w:t xml:space="preserve">euro</w:t>
      </w:r>
      <w:r w:rsidR="00000000" w:rsidRPr="00000000" w:rsidDel="00000000">
        <w:rPr>
          <w:rtl w:val="0"/>
        </w:rPr>
        <w:t xml:space="preserve"> (no tā elastības finansējums 626 051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Pasākumam pieejamais kopējais attiecināmais finansējums līdz 2025. gada 31. decembrim ir 22 287 965 </w:t>
      </w:r>
      <w:r w:rsidR="00000000" w:rsidRPr="00000000" w:rsidDel="00000000">
        <w:rPr>
          <w:i w:val="1"/>
          <w:rtl w:val="0"/>
        </w:rPr>
        <w:t xml:space="preserve">euro</w:t>
      </w:r>
      <w:r w:rsidR="00000000" w:rsidRPr="00000000" w:rsidDel="00000000">
        <w:rPr>
          <w:rtl w:val="0"/>
        </w:rPr>
        <w:t xml:space="preserve">, tai skaitā ERAF finansējums 18 944 770 </w:t>
      </w:r>
      <w:r w:rsidR="00000000" w:rsidRPr="00000000" w:rsidDel="00000000">
        <w:rPr>
          <w:i w:val="1"/>
          <w:rtl w:val="0"/>
        </w:rPr>
        <w:t xml:space="preserve">euro </w:t>
      </w:r>
      <w:r w:rsidR="00000000" w:rsidRPr="00000000" w:rsidDel="00000000">
        <w:rPr>
          <w:rtl w:val="0"/>
        </w:rPr>
        <w:t xml:space="preserve">un nacionālais finansējums (valsts budžeta finansējums) 3 343 195 </w:t>
      </w:r>
      <w:r w:rsidR="00000000" w:rsidRPr="00000000" w:rsidDel="00000000">
        <w:rPr>
          <w:i w:val="1"/>
          <w:rtl w:val="0"/>
        </w:rPr>
        <w:t xml:space="preserve">euro</w:t>
      </w:r>
      <w:r w:rsidR="00000000" w:rsidRPr="00000000" w:rsidDel="00000000">
        <w:rPr>
          <w:rtl w:val="0"/>
        </w:rPr>
        <w:t xml:space="preserve">,</w:t>
      </w:r>
      <w:r w:rsidR="00000000" w:rsidRPr="00000000" w:rsidDel="00000000">
        <w:rPr>
          <w:i w:val="1"/>
          <w:rtl w:val="0"/>
        </w:rPr>
        <w:t xml:space="preserve"> </w:t>
      </w:r>
      <w:r w:rsidR="00000000" w:rsidRPr="00000000" w:rsidDel="00000000">
        <w:rPr>
          <w:rtl w:val="0"/>
        </w:rPr>
        <w:t xml:space="preserve">vienlaikus paredzot šo noteikumu 8. punktā minēto rādītāju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atdalītas jaunizbūvētas vai būtiski uzlabotas veloceļu infrastruktūras garums – vismaz 50 km;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atdalītas riteņbraukšanas infrastruktūras lietotāju skaits gadā – vismaz 4 850 lietotāji.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Maksimālais attiecināmais ERAF finansējuma apmērs ir 85 % no projektam plānotā kopējā attiecināmā finansējuma. Nacionālais līdzfinansējums (valsts budžeta finansējums) nav mazāks par 15 % no projektam plānotā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 2026. gada 1. janvāra atbildīgā iestāde atbilstoši Eiropas Komisijas lēmumam par vidusposma pārskatu var ierosināt sadarbības iestādei palielināt projektam pieejamo ERAF finansējumu līdz šo noteikumu </w:t>
      </w:r>
      <w:r w:rsidR="00000000" w:rsidRPr="00000000" w:rsidDel="00000000">
        <w:rPr>
          <w:rtl w:val="0"/>
        </w:rPr>
        <w:t xml:space="preserve">4.</w:t>
      </w:r>
      <w:r w:rsidR="00000000" w:rsidRPr="00000000" w:rsidDel="00000000">
        <w:rPr>
          <w:rtl w:val="0"/>
        </w:rPr>
        <w:t xml:space="preserve"> punktā</w:t>
      </w:r>
      <w:r w:rsidR="00000000" w:rsidRPr="00000000" w:rsidDel="00000000">
        <w:rPr>
          <w:rtl w:val="0"/>
        </w:rPr>
        <w:t xml:space="preserve"> minētajam apmēram, nepārsniedzot šo noteikumu </w:t>
      </w:r>
      <w:r w:rsidR="00000000" w:rsidRPr="00000000" w:rsidDel="00000000">
        <w:rPr>
          <w:rtl w:val="0"/>
        </w:rPr>
        <w:t xml:space="preserve">6.</w:t>
      </w:r>
      <w:r w:rsidR="00000000" w:rsidRPr="00000000" w:rsidDel="00000000">
        <w:rPr>
          <w:rtl w:val="0"/>
        </w:rPr>
        <w:t xml:space="preserve"> punktā</w:t>
      </w:r>
      <w:r w:rsidR="00000000" w:rsidRPr="00000000" w:rsidDel="00000000">
        <w:rPr>
          <w:rtl w:val="0"/>
        </w:rPr>
        <w:t xml:space="preserve"> noteikto maksimālo ERAF finansējuma intensitāti.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Pasākumu īsteno līdz 2029. gada 31. decembrim, sasniedzot šādus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atdalītas jaunizbūvētas vai būtiski uzlabotas veloceļu infrastruktūras garums ir 60 km;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 atdalītas riteņbraukšanas infrastruktūras lietotāju skaits gadā ir 5 820 lietotāji.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ietvaros ERAF finansējumu piešķir granta veidā, ievērojot, 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paredzētajā termiņā ir sasniegts projektā paredzētais iznākuma rādītājs;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projektā nedrīkst iekļaut darbības, kas ir pabeigtas līdz projekta iesnieguma iesniegšanas dienai.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Iznākuma rādītājs ir sasniegts, kad saistībā ar šo noteikumu </w:t>
      </w:r>
      <w:r w:rsidR="00000000" w:rsidRPr="00000000" w:rsidDel="00000000">
        <w:rPr>
          <w:rtl w:val="0"/>
        </w:rPr>
        <w:t xml:space="preserve">8.1.</w:t>
      </w:r>
      <w:r w:rsidR="00000000" w:rsidRPr="00000000" w:rsidDel="00000000">
        <w:rPr>
          <w:rtl w:val="0"/>
        </w:rPr>
        <w:t xml:space="preserve"> apakšpunktā</w:t>
      </w:r>
      <w:r w:rsidR="00000000" w:rsidRPr="00000000" w:rsidDel="00000000">
        <w:rPr>
          <w:rtl w:val="0"/>
        </w:rPr>
        <w:t xml:space="preserve"> minēto veloceļu infrastruktūru ir izbūvētas visas projektā paredzētas būves, tās ir nodotas ekspluatācijā normatīvajos aktos būvniecības jomā noteiktajā kārtībā un projekts ir pabeigts.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ietvaros atbildīgās iestādes funkcijas pilda Satiksmes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iesniedzējs ir Satiksmes ministrija, kuras vārdā atbilstoši likuma "</w:t>
      </w:r>
      <w:r w:rsidR="00000000" w:rsidRPr="00000000" w:rsidDel="00000000">
        <w:rPr>
          <w:rtl w:val="0"/>
        </w:rPr>
        <w:t xml:space="preserve">Par autoceļiem</w:t>
      </w:r>
      <w:r w:rsidR="00000000" w:rsidRPr="00000000" w:rsidDel="00000000">
        <w:rPr>
          <w:rtl w:val="0"/>
        </w:rPr>
        <w:t xml:space="preserve">" 7. panta trešajai daļai un Satiksmes ministrijas deleģēšanas līgumam darbojas valsts sabiedrība ar ierobežotu atbildību "Latvijas Valsts ceļi", kas veiks Satiksmes ministrijas kā Eiropas Savienības fondu projekta iesniedzēja funkcijas.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kas pēc projekta iesnieguma apstiprināšanas ir finansējuma saņēmējs (turpmāk – finansējuma saņēmējs), sagatavo vienu projekta iesniegumu atbilstoši projekta iesnieguma atlases nolikumā noteiktajām prasībām, ņemot vērā šo noteikumu </w:t>
      </w:r>
      <w:r w:rsidR="00000000" w:rsidRPr="00000000" w:rsidDel="00000000">
        <w:rPr>
          <w:rtl w:val="0"/>
        </w:rPr>
        <w:t xml:space="preserve">4.</w:t>
      </w:r>
      <w:r w:rsidR="00000000" w:rsidRPr="00000000" w:rsidDel="00000000">
        <w:rPr>
          <w:rtl w:val="0"/>
        </w:rPr>
        <w:t xml:space="preserve"> punktā</w:t>
      </w:r>
      <w:r w:rsidR="00000000" w:rsidRPr="00000000" w:rsidDel="00000000">
        <w:rPr>
          <w:rtl w:val="0"/>
        </w:rPr>
        <w:t xml:space="preserve"> plānoto kopējo finansējumu un šo noteikumu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minētos sasniedzamos rādītājus. Projekta iesniegumu iesniedz Kohēzijas politikas fondu vadības informācijas sistēmā, pievienojot projektam veikto izmaksu un ieguvumu analīzi.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Pasākuma ietvaros atbalstāmās darbības ir investīciju veikšana velosipēdu ceļu, tostarp kopīgu gājēju un velosipēdu ceļu, infrastruktūrā gar autoceļiem un dzelzceļiem, izbūvējot, pārbūvējot un atjaunojot velosipēdu ceļu, tostarp kopīgu gājēju un velosipēdu ceļu, infrastruktūru.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Projektā neiekļauj darbības, kas nav vērstas uz šo noteikumu </w:t>
      </w:r>
      <w:r w:rsidR="00000000" w:rsidRPr="00000000" w:rsidDel="00000000">
        <w:rPr>
          <w:rtl w:val="0"/>
        </w:rPr>
        <w:t xml:space="preserve">2.</w:t>
      </w:r>
      <w:r w:rsidR="00000000" w:rsidRPr="00000000" w:rsidDel="00000000">
        <w:rPr>
          <w:rtl w:val="0"/>
        </w:rPr>
        <w:t xml:space="preserve"> punktā</w:t>
      </w:r>
      <w:r w:rsidR="00000000" w:rsidRPr="00000000" w:rsidDel="00000000">
        <w:rPr>
          <w:rtl w:val="0"/>
        </w:rPr>
        <w:t xml:space="preserve"> noteiktā mērķa sasniegšanu.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Pasākuma ietvaros ir attiecināmas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īstenošanu un nepieciešamas projekta rezultātu sasniegšanai, un šī saistība ir skaidri saprotama un pierādāma;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projekta īstenošanai un projekta rezultātu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w:t>
      </w:r>
      <w:r w:rsidR="00000000" w:rsidRPr="00000000" w:rsidDel="00000000">
        <w:rPr>
          <w:rtl w:val="0"/>
        </w:rPr>
        <w:t xml:space="preserve"> apakšpunktā</w:t>
      </w:r>
      <w:r w:rsidR="00000000" w:rsidRPr="00000000" w:rsidDel="00000000">
        <w:rPr>
          <w:rtl w:val="0"/>
        </w:rPr>
        <w:t xml:space="preserve">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iesniegumu pamatojošās dokumentācijas sagatavošanas izmaksas, tajā skaitā izmaksu un ieguvumu analīzes izstrādes izmaksas un tehniski ekonomiskā pamatojuma izstrāde;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vides aizsardzības obligāto prasību nodrošināšanas izmaksas, tai skaitā ietekmes uz vidi novērtējuma izmaksas, ciktāl to paredz normatīvie akti vides aizsardzības 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ceļu drošības audita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būvprojekta, būvdarbu ieceres dokumentācijas, būvprojekta minimālā sastāvā, apliecinājuma kartes (ja tā izstrādāta līdz 2021. gada 10. augustam), paskaidrojuma raksta un paziņojuma par būvniecību izstrādes izmaksas visām projektā paredzētajām darbībām un ar to saistīto būvekspertīžu un izpētes izmaksas, ja to veikšana ir priekšnosacījums būvprojekta, būvdarbu ieceres dokumentācijas vai būvprojekta minimālā sastāvā izstrādei;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jaunas būves būvniecības, esošas būves pārbūves un atjaunošanas izmaksas atbilstoši būvprojektam: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būvlaukuma ierīkošanas un novākšanas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velosipēdu ceļi, tilti, tostarp satiksmes pārvadi;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velosipēdu ielas, attiecinot tikai to izmaksu daļu, kas atbilst atbalstam velosipēdu ceļu infrastruktūrai;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velosipēdu un gājēju ceļu, tai skaitā noejas rampu, velonovietņu, velosipēdu satiksmes intensitātes automātiskās uzskaites sistēmas, video novērošanas sistēmas un pārējās ar velosipēdu ceļu infrastruktūras izbūvi saistītās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teritorijas labiekārtošanas izmaksas atbilstoši būvprojekta risinājumam, lai nodrošinātu velosipēdu ceļu, tostarp kopīgu gājēju un velosipēdu ceļu, pilnvērtīgu integrēšanu piegulošajā teritorijā;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ceļu satiksmes organizācijas tehnisko līdzekļu (tai skaitā ceļa zīmes, luksofori, signālstabiņi, aizsargbarjeras, vertikālie un horizontālie ceļa apzīmējumi) uzstādīšanas un atjaunošanas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transportbūvju un ielu tīklam piegulošo inženiertīklu būvniecības izmaksas. Izmaksas attiecināmas tikai tādā gadījumā, ja ir sertificēta būvinženiera ekspertīzes atzinums par to, ka projekta ietvaros, veicot plānotos ieguldījumus noteiktās teritorijās, nav iespējams izvairīties no minētās infrastruktūras bojāšanas vai pārcelšanas, vienlaikus nodrošinot, ka netiek mainīti inženiertīklu tehniskie parametri un investīcijas nerada priekšrocības šo inženiertīklu īpašniekam;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būvuzraudzības, kā arī apvienotās būvprojekta izstrādes un būvdarbu veikšanas procesa neatkarīgas uzraudzības pakalpojuma izmaksas, autoruzraudzības izmaksas un attiecīgo būvspeciālistu apdrošināšanas un normatīvajos aktos būvniecības jomā noteiktās obligātās apdrošināšanas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vides un informācijas piekļūstamības nodrošināšanas izmaksas atbilstoši būvprojektam, tai skaitā vides un informācijas ekspertu  konsultāciju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komunikācijas un vizuālās identitātes pasākumu izmaksas atbilstoši normatīvajiem aktiem par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nekustamā īpašuma iegādes izmaksas ne vairāk kā 10 % apmērā no attiecināmo izmaksu kopsummas, ja nekustamā īpašuma iegāde ir nepieciešama un tieši saistīta ar projektā paredzēto darbību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19.1.</w:t>
      </w:r>
      <w:r w:rsidR="00000000" w:rsidRPr="00000000" w:rsidDel="00000000">
        <w:rPr>
          <w:rtl w:val="0"/>
        </w:rPr>
        <w:t xml:space="preserve">, </w:t>
      </w:r>
      <w:r w:rsidR="00000000" w:rsidRPr="00000000" w:rsidDel="00000000">
        <w:rPr>
          <w:rtl w:val="0"/>
        </w:rPr>
        <w:t xml:space="preserve">19.4.</w:t>
      </w:r>
      <w:r w:rsidR="00000000" w:rsidRPr="00000000" w:rsidDel="00000000">
        <w:rPr>
          <w:rtl w:val="0"/>
        </w:rPr>
        <w:t xml:space="preserve"> un </w:t>
      </w:r>
      <w:r w:rsidR="00000000" w:rsidRPr="00000000" w:rsidDel="00000000">
        <w:rPr>
          <w:rtl w:val="0"/>
        </w:rPr>
        <w:t xml:space="preserve">19.9.</w:t>
      </w:r>
      <w:r w:rsidR="00000000" w:rsidRPr="00000000" w:rsidDel="00000000">
        <w:rPr>
          <w:rtl w:val="0"/>
        </w:rPr>
        <w:t xml:space="preserve"> apakšpunktā</w:t>
      </w:r>
      <w:r w:rsidR="00000000" w:rsidRPr="00000000" w:rsidDel="00000000">
        <w:rPr>
          <w:rtl w:val="0"/>
        </w:rPr>
        <w:t xml:space="preserve"> minētās izmaksas kopā nepārsniedz 10 % no projekta kopējām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18.2.</w:t>
      </w:r>
      <w:r w:rsidR="00000000" w:rsidRPr="00000000" w:rsidDel="00000000">
        <w:rPr>
          <w:rtl w:val="0"/>
        </w:rPr>
        <w:t xml:space="preserve"> apakšpunktā</w:t>
      </w:r>
      <w:r w:rsidR="00000000" w:rsidRPr="00000000" w:rsidDel="00000000">
        <w:rPr>
          <w:rtl w:val="0"/>
        </w:rPr>
        <w:t xml:space="preserve">  minētās netiešās attiecināmās izmaksas plāno kā vienu izmaksu pozīciju, piemērojot netiešo izmaksu vienoto likmi 7 % apmērā no šo noteikumu </w:t>
      </w:r>
      <w:r w:rsidR="00000000" w:rsidRPr="00000000" w:rsidDel="00000000">
        <w:rPr>
          <w:rtl w:val="0"/>
        </w:rPr>
        <w:t xml:space="preserve">18.1.</w:t>
      </w:r>
      <w:r w:rsidR="00000000" w:rsidRPr="00000000" w:rsidDel="00000000">
        <w:rPr>
          <w:rtl w:val="0"/>
        </w:rPr>
        <w:t xml:space="preserve"> apakšpunktā</w:t>
      </w:r>
      <w:r w:rsidR="00000000" w:rsidRPr="00000000" w:rsidDel="00000000">
        <w:rPr>
          <w:rtl w:val="0"/>
        </w:rPr>
        <w:t xml:space="preserve"> </w:t>
      </w:r>
      <w:r w:rsidR="00000000" w:rsidRPr="00000000" w:rsidDel="00000000">
        <w:rPr>
          <w:rtl w:val="0"/>
        </w:rPr>
        <w:t xml:space="preserve"> minētajām tiešajām attiecināmajām izmaksām. Netiešās izmaksas ir tādas, kas nav noteiktas kā tiešās, bet ir tieši saistītas ar projekta īstenošanu un nepieciešamas rezultātu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ietvaros radušās izmaksas ir attiecināmas finansēšanai, 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atbilst šajos noteikumos minētajam mērķim, atbalstāmajām darbībām un īstenošanas nosacījumiem;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tās atbilst šajos noteikumos noteiktajām attiecināmajām izmaksām;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tās nepārsniedz šo noteikumu </w:t>
      </w:r>
      <w:r w:rsidR="00000000" w:rsidRPr="00000000" w:rsidDel="00000000">
        <w:rPr>
          <w:rtl w:val="0"/>
        </w:rPr>
        <w:t xml:space="preserve">19.12.</w:t>
      </w:r>
      <w:r w:rsidR="00000000" w:rsidRPr="00000000" w:rsidDel="00000000">
        <w:rPr>
          <w:rtl w:val="0"/>
        </w:rPr>
        <w:t xml:space="preserve"> apakšpunktā</w:t>
      </w:r>
      <w:r w:rsidR="00000000" w:rsidRPr="00000000" w:rsidDel="00000000">
        <w:rPr>
          <w:rtl w:val="0"/>
        </w:rPr>
        <w:t xml:space="preserve">, </w:t>
      </w:r>
      <w:r w:rsidR="00000000" w:rsidRPr="00000000" w:rsidDel="00000000">
        <w:rPr>
          <w:rtl w:val="0"/>
        </w:rPr>
        <w:t xml:space="preserve">20.</w:t>
      </w:r>
      <w:r w:rsidR="00000000" w:rsidRPr="00000000" w:rsidDel="00000000">
        <w:rPr>
          <w:rtl w:val="0"/>
        </w:rPr>
        <w:t xml:space="preserve"> un </w:t>
      </w:r>
      <w:r w:rsidR="00000000" w:rsidRPr="00000000" w:rsidDel="00000000">
        <w:rPr>
          <w:rtl w:val="0"/>
        </w:rPr>
        <w:t xml:space="preserve">21.</w:t>
      </w:r>
      <w:r w:rsidR="00000000" w:rsidRPr="00000000" w:rsidDel="00000000">
        <w:rPr>
          <w:rtl w:val="0"/>
        </w:rPr>
        <w:t xml:space="preserve"> punktā</w:t>
      </w:r>
      <w:r w:rsidR="00000000" w:rsidRPr="00000000" w:rsidDel="00000000">
        <w:rPr>
          <w:rtl w:val="0"/>
        </w:rPr>
        <w:t xml:space="preserve"> minētos ierobežojumus;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tās nepārsniedz pasākuma ietvaros plānoto kopējo finansējumu saskaņā ar šo noteikumu </w:t>
      </w:r>
      <w:r w:rsidR="00000000" w:rsidRPr="00000000" w:rsidDel="00000000">
        <w:rPr>
          <w:rtl w:val="0"/>
        </w:rPr>
        <w:t xml:space="preserve">4.</w:t>
      </w:r>
      <w:r w:rsidR="00000000" w:rsidRPr="00000000" w:rsidDel="00000000">
        <w:rPr>
          <w:rtl w:val="0"/>
        </w:rPr>
        <w:t xml:space="preserve"> punktu</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tās nav radušās agrāk par 2022. gada 25. novembri, izņemot šo noteikumu </w:t>
      </w:r>
      <w:r w:rsidR="00000000" w:rsidRPr="00000000" w:rsidDel="00000000">
        <w:rPr>
          <w:rtl w:val="0"/>
        </w:rPr>
        <w:t xml:space="preserve">19.1.</w:t>
      </w:r>
      <w:r w:rsidR="00000000" w:rsidRPr="00000000" w:rsidDel="00000000">
        <w:rPr>
          <w:rtl w:val="0"/>
        </w:rPr>
        <w:t xml:space="preserve">, </w:t>
      </w:r>
      <w:r w:rsidR="00000000" w:rsidRPr="00000000" w:rsidDel="00000000">
        <w:rPr>
          <w:rtl w:val="0"/>
        </w:rPr>
        <w:t xml:space="preserve">19.2.</w:t>
      </w:r>
      <w:r w:rsidR="00000000" w:rsidRPr="00000000" w:rsidDel="00000000">
        <w:rPr>
          <w:rtl w:val="0"/>
        </w:rPr>
        <w:t xml:space="preserve"> un </w:t>
      </w:r>
      <w:r w:rsidR="00000000" w:rsidRPr="00000000" w:rsidDel="00000000">
        <w:rPr>
          <w:rtl w:val="0"/>
        </w:rPr>
        <w:t xml:space="preserve">19.4.</w:t>
      </w:r>
      <w:r w:rsidR="00000000" w:rsidRPr="00000000" w:rsidDel="00000000">
        <w:rPr>
          <w:rtl w:val="0"/>
        </w:rPr>
        <w:t xml:space="preserve"> apakšpunktā</w:t>
      </w:r>
      <w:r w:rsidR="00000000" w:rsidRPr="00000000" w:rsidDel="00000000">
        <w:rPr>
          <w:rtl w:val="0"/>
        </w:rPr>
        <w:t xml:space="preserve"> minētās izmaksas, kas ir attiecināmas, ja tās radušās pēc 2021. gada 1. janvāra;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tās nav radušās vēlāk par termiņu, ko nosaka līgums par projekta īstenošanu, bet ne vēlāk kā 2029. gada 31. decembrī;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ir pieejami visi izmaksas pamatojošie dokumenti;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ir sasniegts pasākuma iznākuma rādītājs.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Pievienotās vērtības nodoklis uzskatāms par attiecināmām izmaksām saskaņā ar </w:t>
      </w:r>
      <w:r w:rsidR="00000000" w:rsidRPr="00000000" w:rsidDel="00000000">
        <w:rPr>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64. panta 1. punkta "c" apakšpunktā ietvertajiem nosacījumiem, ja vien tās nav atgūstamas saskaņā ar valsts normatīvajiem aktiem pievienotās vērtības nodokļa jomā.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Pasākuma ietvaros projektu īsteno saskaņā ar noslēgto līgumu par projekta īstenošanu,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ņem vērā, ka atbalstāma ir atdalītas velosipēdu ceļu, tostarp kopīgu gājēju un velosipēdu ceļu, infrastruktūras izveide gar autoceļiem un dzelzceļiem atbilstoši Valsts mikromobilitātes infrastruktūras attīstības stratēģijai;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velosipēdu ceļu, tostarp kopīgu gājēju un velosipēdu ceļu, infrastruktūras maršrutu savienojamību – maršruti pēctecīgi turpinās un nodrošina savienojamību starp apdzīvotām teritorijām, piekļuvi sabiedriskajam transportam un mobilitātes punktiem, papildinot multimodālo savienojumu sniegtās iespējas;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uzkrāj datus par projektā sasniegtajiem šo noteikumu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minētajiem rādītājiem;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ievēro horizontālo principu "Vienlīdzība, iekļaušana, nediskriminācija un pamattiesību ievērošana" un uzkrāj datus par projekta ietekmi uz horizontālā principa rādītāju – objektu skaitu, kuros ERAF/KF ieguldījumu rezultātā ir nodrošināta vides un informācijas pieejamība;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uzkrāj datus par projekta ietekmi uz horizontālo principu rādītājiem (ja attiecināms) un ievēro principus: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klimatdrošināšana;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nenodarīt būtisku kaitējumu;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sniedz sadarbības iestādei informāciju par šo noteikumu </w:t>
      </w:r>
      <w:r w:rsidR="00000000" w:rsidRPr="00000000" w:rsidDel="00000000">
        <w:rPr>
          <w:rtl w:val="0"/>
        </w:rPr>
        <w:t xml:space="preserve">25.4.</w:t>
      </w:r>
      <w:r w:rsidR="00000000" w:rsidRPr="00000000" w:rsidDel="00000000">
        <w:rPr>
          <w:rtl w:val="0"/>
        </w:rPr>
        <w:t xml:space="preserve"> un </w:t>
      </w:r>
      <w:r w:rsidR="00000000" w:rsidRPr="00000000" w:rsidDel="00000000">
        <w:rPr>
          <w:rtl w:val="0"/>
        </w:rPr>
        <w:t xml:space="preserve">25.5.</w:t>
      </w:r>
      <w:r w:rsidR="00000000" w:rsidRPr="00000000" w:rsidDel="00000000">
        <w:rPr>
          <w:rtl w:val="0"/>
        </w:rPr>
        <w:t xml:space="preserve"> apakšpunktā</w:t>
      </w:r>
      <w:r w:rsidR="00000000" w:rsidRPr="00000000" w:rsidDel="00000000">
        <w:rPr>
          <w:rtl w:val="0"/>
        </w:rPr>
        <w:t xml:space="preserve"> minētajiem horizontālo principu rādītājiem un par šo noteikumu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minēto rādītāju vērtību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ka projektā plānotās attiecināmās izmaksas netiek finansētas vai līdzfinansētas, kā arī tās nav plānots finansēt vai līdzfinansēt no citiem valsts un ārvalstu finanšu atbalsta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ka projekta īstenošanas laikā nekustamie īpašumi, kuri nepieciešami projekta īstenošanai, ir finansējuma saņēmēja īpašumā vai arī būvniecība tiek veikta uz lietošanas, valdījuma vai uz zemesgrāmatā ierakstītas lietu tiesības pamata, saskaņojot būvniecības ieceri ar projekta īstenošanai nepieciešamo nekustamo īpašumu īpašniekiem atbilstoši normatīvo aktu nosacījumiem būvniecības jomā. Finansējuma saņēmēja tiesībām uz konkrēto īpašumu jābūt nostiprinātām zemesgrāmatā;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komunikācijas un vizuālās identitātes prasības saskaņā ar </w:t>
      </w:r>
      <w:r w:rsidR="00000000" w:rsidRPr="00000000" w:rsidDel="00000000">
        <w:rPr>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47. un 50. pantu un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nodrošina interešu konflikta neesību saskaņā ar </w:t>
      </w:r>
      <w:r w:rsidR="00000000" w:rsidRPr="00000000" w:rsidDel="00000000">
        <w:rPr>
          <w:rtl w:val="0"/>
        </w:rPr>
        <w:t xml:space="preserve">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r w:rsidR="00000000" w:rsidRPr="00000000" w:rsidDel="00000000">
        <w:rPr>
          <w:rtl w:val="0"/>
        </w:rPr>
        <w:t xml:space="preserve">, 61. panta prasībām, kā arī paraksta interešu konflikta neesības apliecinājumu;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īstenošanai nepieciešamo preču un pakalpojumu iegādi veic saskaņā ar normatīvajiem aktiem publisko iepirkumu jomā, īstenojot atklātu, pārredzamu, nediskriminējošu un konkurenci nodrošinošu konkursa procedūru. Atbalstāms ir zaļais publiskais iepirkums (vides prasību integrācija preču un pakalpojumu iepirkumos) un sociāli atbildīgs iepirkums;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izstrādā iekšējās kontroles sistēmu, ietverot tajā informāciju par interešu konflikta, krāpšanas, korupcijas risku un dubultā finansējuma novēršanas mehānismu;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nodrošina projekta īstenošanā radīto vērtību uzturēšanu, laikus plānojot uzturēšanas un periodiskus nodilušo konstrukciju atjaunošanas darbus un finansējumu šiem darbiem turpmākos piecus gadus pēc noslēguma maksājuma veikšanas;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nodrošina sasniegto rezultātu ilgtspēju vismaz piecus gadus pēc noslēguma maksājuma veikšanas;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glabā projekta dokumentāciju un nodrošina tai pieejamību visā projekta īstenošanas laikā un uzraudzības periodā, kas nepārsniedz piecus gadus pēc pēdējā noslēguma maksājuma veikšanas finansējuma saņēmējam.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24-TA-1896</w:t>
    </w:r>
    <w:r>
      <w:br/>
    </w:r>
    <w:r w:rsidR="00000000" w:rsidRPr="00000000" w:rsidDel="00000000">
      <w:rPr>
        <w:rtl w:val="0"/>
      </w:rPr>
      <w:t xml:space="preserve">Izdrukāts 29.07.2026. 22.01 - 1.0.VK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24-TA-1896</w:t>
    </w:r>
    <w:r>
      <w:br/>
    </w:r>
    <w:r w:rsidR="00000000" w:rsidRPr="00000000" w:rsidDel="00000000">
      <w:rPr>
        <w:rtl w:val="0"/>
      </w:rPr>
      <w:t xml:space="preserve">Izdrukāts 29.07.2026. 22.01 - 1.0.VK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noteikumu_konsolidētā_versija_24-TA-1896.docx</dc:title>
</cp:coreProperties>
</file>

<file path=docProps/custom.xml><?xml version="1.0" encoding="utf-8"?>
<Properties xmlns="http://schemas.openxmlformats.org/officeDocument/2006/custom-properties" xmlns:vt="http://schemas.openxmlformats.org/officeDocument/2006/docPropsVTypes"/>
</file>