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22. novembrī (prot. Nr. 59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(Latvijas Vēstnesis, 2016, 141., 184. nr.; 2017, 133. nr.; 2018, 206. nr.; 2020, 35. nr.; 2022, 14.,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Pēc tam kad noslēgts līgums par projekta īstenošanu, sadarbības iestāde, pamatojoties uz finansējuma saņēmēja rakstisku avansa pieprasījumu, nodrošina finansējuma saņēmējam avansa maksājumu par šo noteikumu 27.1., 27.4., 27.5., 27.6., 27.7., 27.7.</w:t>
      </w:r>
      <w:r w:rsidR="00000000" w:rsidRPr="00000000" w:rsidDel="00000000">
        <w:rPr>
          <w:vertAlign w:val="superscript"/>
          <w:rtl w:val="0"/>
        </w:rPr>
        <w:t xml:space="preserve">1</w:t>
      </w:r>
      <w:r w:rsidR="00000000" w:rsidRPr="00000000" w:rsidDel="00000000">
        <w:rPr>
          <w:rtl w:val="0"/>
        </w:rPr>
        <w:t xml:space="preserve">, 27.9.1.1., 27.9.2., 27.10.1.1. un 27.10.2. apakšpunktā minētajām izmaksām. Avansu var izmaksāt vairākos maksājumos. Viens avansa maksājums nepārsniedz 30 procentus no projektam piešķirtā Eiropas Sociālā fonda finansējuma un valsts budžeta līdzfinansējuma kopsummas, izņemot šo noteikumu 32. punktā minētos maksājumus."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Slēdzot pakalpojuma (uzņēmuma) līgumus par projekta aktivitāšu īstenošanu, finansējuma saņēmējs veic atklātu, pārredzamu, nediskriminējošu un konkurenci nodrošinošu procedūru, ievērojot Publisko iepirkumu likuma nosacījumus. Atbalstāma ir vides prasību integrācija preču un pakalpojumu iepirkumos (zaļais publiskais iepirkums)."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22-TA-2863</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22-TA-2863</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noteikumu_(grozījumu)_projekts_22-TA-2863.docx</dc:title>
</cp:coreProperties>
</file>

<file path=docProps/custom.xml><?xml version="1.0" encoding="utf-8"?>
<Properties xmlns="http://schemas.openxmlformats.org/officeDocument/2006/custom-properties" xmlns:vt="http://schemas.openxmlformats.org/officeDocument/2006/docPropsVTypes"/>
</file>