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(Latvijas Vēstnesis, 2025, 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Pasākuma ceturtās atlases kārtas īstenošanai pieejamais finansējums ir 10 686 163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9 083 238 </w:t>
      </w:r>
      <w:r w:rsidR="00000000" w:rsidRPr="00000000" w:rsidDel="00000000">
        <w:rPr>
          <w:i w:val="1"/>
          <w:rtl w:val="0"/>
        </w:rPr>
        <w:t xml:space="preserve">euro</w:t>
      </w:r>
      <w:r w:rsidR="00000000" w:rsidRPr="00000000" w:rsidDel="00000000">
        <w:rPr>
          <w:rtl w:val="0"/>
        </w:rPr>
        <w:t xml:space="preserve"> un nacionālais līdzfinansējums, ko veido pašvaldības budžeta un privātais līdzfinansējums, – vismaz 1 602 925 </w:t>
      </w:r>
      <w:r w:rsidR="00000000" w:rsidRPr="00000000" w:rsidDel="00000000">
        <w:rPr>
          <w:i w:val="1"/>
          <w:rtl w:val="0"/>
        </w:rPr>
        <w:t xml:space="preserve">euro</w:t>
      </w:r>
      <w:r w:rsidR="00000000" w:rsidRPr="00000000" w:rsidDel="00000000">
        <w:rPr>
          <w:rtl w:val="0"/>
        </w:rPr>
        <w:t xml:space="preserve">, kā arī valsts budžeta līdzfinansējums, ja projekta īstenošanā kā sadarbības partneris tiek piesaistīta valsts kapitālsabiedrība saskaņā ar šo noteikumu 21.2.2. apakšpunktu, paredzot, ka valsts budžeta līdzfinansējums nepārsniedz 15 procentus no projekta attiecināmajām izmaksām, kas saistošas attiecīgajam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Projekta iesniedzējs trešās un ceturtās atlases kārtas ietvaros var piesaistīt arī šo noteikumu 21.1.4. vai 21.2.3. apakšpunktā minētos sadarbības partnerus, kuri veic saimniecisko darbību nekustamajā īpašumā, kurā paredzētas projekta darbības atbilstoši šo noteikumu 33.1. un 33.5. apakšpunktam. Tādā gadījumā šiem sadarbības partneriem tiek piemēroti šo noteikumu 41. punktā un V nodaļā minētie komercdarbības atbalsta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36.10.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"36.10. komunikācijas un vizuālās identitātes nodrošināšana: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36.10.1. pasākumu un informatīvo materiālu izstrādes un izgatavošanas izmaksas sabiedrības informēšanai un izglītošanai par sugu stāvokli, sugu dzīvotnēm, Eiropas Savienības nozīmes biotopiem un vispārīgiem dabas izglītības jautājumiem, kas nav šo noteikumu 36.10.2. apakšpunktā minētās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36.10.2. komunikācijas un vizuālās identitātes prasību nodrošināšanas pasākumi, kas veikti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nepārsniedzot vienu procentu no projekta kopējām tiešajām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36.17.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"36.17. citu speciālistu un pakalpojumu līgumu izmaksas, ja tās saistītas ar šo noteikumu 33.1., 33.3., 33.4., 33.5., 33.6., 33.7., 33.9. un 33.12. apakšpunktā minēto atbalstāmo darbību īstenošanu (izņemot šo noteikumu 36.1., 36.4., 36.5.1., 36.12., 36.14. un 36.15. apakšpunktā minētās izmaksas), nepārsniedzot 10 procentus no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46.8.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"46.8. 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preventīvai novēršanai un gadījumiem, kad interešu konflikts ir atklāts. Finansējuma saņēmējs un sadarbības partneris paraksta apliecinājumu par interešu konflikta neesību, kas tostarp ir atbilstošs publiskos iepirkumus regulējošo normatīvo aktu prasībām;".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25-TA-1195</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25-TA-1195</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noteikumu_(grozījumu)_projekts_25-TA-1195.docx</dc:title>
</cp:coreProperties>
</file>

<file path=docProps/custom.xml><?xml version="1.0" encoding="utf-8"?>
<Properties xmlns="http://schemas.openxmlformats.org/officeDocument/2006/custom-properties" xmlns:vt="http://schemas.openxmlformats.org/officeDocument/2006/docPropsVTypes"/>
</file>