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aprīlī (prot. Nr. 14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26. aprīļa noteikumos Nr. 260 "Kārtība, kādā lauksaimniekiem piešķir valsts atbalstu īstermiņa aizdevuma veidā"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26. aprīļa noteikumos Nr. 260 "Kārtība, kādā lauksaimniekiem piešķir valsts atbalstu īstermiņa aizdevuma veidā" (Latvijas Vēstnesis, 2022, 82. nr.; 2023, 85., 131.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Atbalsta apmērs ir 60 </w:t>
      </w:r>
      <w:r w:rsidR="00000000" w:rsidRPr="00000000" w:rsidDel="00000000">
        <w:rPr>
          <w:i w:val="1"/>
          <w:rtl w:val="0"/>
        </w:rPr>
        <w:t xml:space="preserve">euro</w:t>
      </w:r>
      <w:r w:rsidR="00000000" w:rsidRPr="00000000" w:rsidDel="00000000">
        <w:rPr>
          <w:rtl w:val="0"/>
        </w:rPr>
        <w:t xml:space="preserve"> par ilgtspēju sekmējošam ienākumu pamatatbalstam pieteikto hektāru, un to nosaka, ņemot vērā ilgtspēju sekmējošā ienākumu pamatatbalsta avansa apmēru, kas aprēķināts saskaņā ar Eiropas Parlamenta un Padomes 2021. gada 2. decembra Regulas (ES) 2021/2116 par kopējās lauksaimniecības politikas finansēšanu, pārvaldību un uzraudzību un ar ko atceļ Regulu (ES) Nr. 1306/2013 (turpmāk – regula 2021/2116), 44. panta 2. punkta "a"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24-TA-224</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24-TA-224</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noteikumu_(grozījumu)_projekts_24-TA-224.docx</dc:title>
</cp:coreProperties>
</file>

<file path=docProps/custom.xml><?xml version="1.0" encoding="utf-8"?>
<Properties xmlns="http://schemas.openxmlformats.org/officeDocument/2006/custom-properties" xmlns:vt="http://schemas.openxmlformats.org/officeDocument/2006/docPropsVTypes"/>
</file>