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Azartspēļu un izložu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Azartspēļu un izložu likumā (Latvijas Republikas Saeimas un Ministru Kabineta Ziņotājs, 2006, 1., 14. nr.; Latvijas Vēstnesis, 2011, 65. nr.; 2013, 188. nr.; 2015, 248. nr.; 2016, 241. nr.; 2017, 222., 242. nr.; 2019, 75. nr.; 2021, 73.A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pantu ar 12.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publiska izloze</w:t>
      </w:r>
      <w:r w:rsidR="00000000" w:rsidRPr="00000000" w:rsidDel="00000000">
        <w:rPr>
          <w:rtl w:val="0"/>
        </w:rPr>
        <w:t xml:space="preserve"> – izlozes rezultāta vai laimētāja noteikšana pēc nejaušības principa, izmantojot izlozes iekārtu vai datu apstrādes sistēmas programmatūru vai izlozi veicot fiziski ar atbildīgās personas vai komisijas starpniecību un izlozes rezultātus paziņojot elektroniskajos plašsaziņas līdzekļos vai masu informācijas līdzekļos, vai publiska pasākuma norises vietā;".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58. pantu ar otro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Skaitļu izlozes var tikt īstenotas kopspēles veidā, kurā izlozes dalībnieks atbilstoši tās noteikumiem var piedalīties, samaksājot tikai daļu no kopējās maksas par attiecīgo skaitļu kombināciju. Šādā gadījumā izlozes dalībnieka laimests atbilstoši izlozes noteikumiem tiek aprēķināts proporcionāli dalībnieka iemaksātajai dalības maksai kopspēlē.";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60. pantu ar ceturto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Latvijas Republikā valsts mēroga izlozes, tai skaitā interaktīvās izlozes un izložu papildspēles, organizē arī kā attiecīgās izlozes starptautisku kopprojektu sadarbībā ar citu valstu izložu (loteriju) organizētājiem, ar kuriem noslēgts līgums par izložu starptautisko kopprojektu īstenošanu."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68.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Uz laimestu izmaksām izlozēs, kas tiek organizētas šā likuma 60. panta ceturtajā daļā noteiktā līguma ietvaros, nav attiecināmi šā panta otrajā daļā noteiktie termiņi. Laimestu izmaksu veic atbilstoši līgumā paredzētajiem nosacījumiem."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69. panta otrajā daļā: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3. punktu pirms vārda "kārtība" ar vārdiem "veidi un";</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izložu biļešu pārdošanas vai dalības maksājuma pieņemšanas vieta;";</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ar 10.</w:t>
      </w:r>
      <w:r w:rsidR="00000000" w:rsidRPr="00000000" w:rsidDel="00000000">
        <w:rPr>
          <w:vertAlign w:val="superscript"/>
          <w:rtl w:val="0"/>
        </w:rPr>
        <w:t xml:space="preserve">1</w:t>
      </w:r>
      <w:r w:rsidR="00000000" w:rsidRPr="00000000" w:rsidDel="00000000">
        <w:rPr>
          <w:rtl w:val="0"/>
        </w:rPr>
        <w:t xml:space="preserve"> punktu šādā redakcijā: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gadījumi, kad izloze ir uzskatāma par nenotikušu vai atceltu, un dalības maksas atmaksas kārtība;".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70. panta 3. punktu pēc vārda "summu" ar vārdiem "izņemot skaitļu izložu kopspēli, kura var tik atcelta, ja nav pārdotas visas tās daļas".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24-TA-2226</w:t>
    </w:r>
    <w:r>
      <w:br/>
    </w:r>
    <w:r w:rsidR="00000000" w:rsidRPr="00000000" w:rsidDel="00000000">
      <w:rPr>
        <w:rtl w:val="0"/>
      </w:rPr>
      <w:t xml:space="preserve">Izdrukāts 29.07.2026. 21.47 - 1.0.VK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24-TA-2226</w:t>
    </w:r>
    <w:r>
      <w:br/>
    </w:r>
    <w:r w:rsidR="00000000" w:rsidRPr="00000000" w:rsidDel="00000000">
      <w:rPr>
        <w:rtl w:val="0"/>
      </w:rPr>
      <w:t xml:space="preserve">Izdrukāts 29.07.2026. 21.47 - 1.0.VK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likumprojekts_(grozījumi)_24-TA-2226.docx</dc:title>
</cp:coreProperties>
</file>

<file path=docProps/custom.xml><?xml version="1.0" encoding="utf-8"?>
<Properties xmlns="http://schemas.openxmlformats.org/officeDocument/2006/custom-properties" xmlns:vt="http://schemas.openxmlformats.org/officeDocument/2006/docPropsVTypes"/>
</file>