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projektiem siltumnīcu būvniecībai un pārbūvei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ražošanā,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energoefektivitātē (enerģijas ietaupījums vismaz par 20 %, ko pierāda energoaudita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atjaunojamo energoresursu izmantošanā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Latgales plānošanas reģionā atbilstoši normatīvajiem aktiem par plānošanas reģionu teritorijām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ārpus valstspilsētām saskaņā ar Administratīvo teritoriju un apdzīvoto vietu likumu un Latgales plānošanas reģiona (atbilstoši normatīvajiem aktiem par plānošanas reģionu teritorijām) un tālāk par 100 km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valstspilsētā saskaņā ar Administratīvo teritoriju un apdzīvoto vietu likumu (Daugavpils, Jelgava, Jēkabpils, Jūrmala, Liepāja, Ogre, Rēzekne, Rīga, Valmiera un Ventspils) vai līdz 100 km attālumā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(zemnieku saimniecībai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noteikumu_konsolidētā_versija_p5_23-TA-908.docx</dc:title>
</cp:coreProperties>
</file>

<file path=docProps/custom.xml><?xml version="1.0" encoding="utf-8"?>
<Properties xmlns="http://schemas.openxmlformats.org/officeDocument/2006/custom-properties" xmlns:vt="http://schemas.openxmlformats.org/officeDocument/2006/docPropsVTypes"/>
</file>