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"Ieguldījumi materiālajos aktīvos", ja kooperatīvās sabiedrības (arī jaunās kooperatīvās sabiedrības un kooperatīvo sabiedrību apvienības) pretendē uz atbalstu šo noteikumu 1. punktā minētajos apakšpasākumos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piešķirto publisko finansējumu LAP 2014–2020 apakšpasākumos "Atbalsts ieguldījumiem lauku saimniecībās" un "Atbalsts ieguldījumiem pārstrādē"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 LAP 2014–2020 apakšpasākumā "Atbalsts ieguldījumiem lauku saimniecībās" un "Atbalsts ieguldījumiem pārstrādē".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noteikumu_konsolidētā_versija_p7_23-TA-908.docx</dc:title>
</cp:coreProperties>
</file>

<file path=docProps/custom.xml><?xml version="1.0" encoding="utf-8"?>
<Properties xmlns="http://schemas.openxmlformats.org/officeDocument/2006/custom-properties" xmlns:vt="http://schemas.openxmlformats.org/officeDocument/2006/docPropsVTypes"/>
</file>