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lauksaimniecības un mežsaimniecības infrastruktūras attīstībā"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būvniecības darbi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izmantoti videi draudzīgas meliorācijas sistēmas elementi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paredz posmu ar meandriem, sedimentācijas dīķu, divpakāpju meliorācijas grāvju vai akmeņu krāvumu izveidi, kontrolētās drenāžas akas un mākslīgo mitrāju izveidi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sasaiste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nozīmes koplietošanas meliorācijas sistēma ietek valsts nozīmes meliorācijas sistēmā, kas atjaunota (darbi pabeigti vai uzsākti) 2014.–2020. gada plānošanas perioda apakšpasākumā "Atbalsts ieguldījumiem lauksaimniecības un mežsaimniecības infrastruktūras attīstībā"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lauksaimniecības un mežsaimniecības infrastruktūras attīstībā"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50 001–150 000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150 001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