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Izglītības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14. pantu ar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nosaka kārtību un apmēru, kādā valsts izglītības iestāžu pedagogiem var kompensēt transporta izdevumus un dzīvojamās telpas īres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52. panta 1.1 daļu ar 3. un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kompensāciju transporta izdevumu, kas radušies izmantojot personīgo vai sabiedrisko transportu (izņemot taksometru) no pedagoga deklarētās dzīvesvietas līdz izglītības iestādei un atpakaļ, segšanai. Kārtību un apmēru, kādā pedagogam var kompensēt transporta izdevumus, nosaka izglītības iestādes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kompensāciju dzīvojamās telpas īres izdevumu segšanai. Kārtību un apmēru, kādā pedagogam var kompensēt dzīvojamās telpas īres izdevumus, nosaka izglītības iestādes dibinātājs.”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23-TA-2212</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23-TA-2212</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likumprojekts_(grozījumi)_23-TA-2212.docx</dc:title>
</cp:coreProperties>
</file>

<file path=docProps/custom.xml><?xml version="1.0" encoding="utf-8"?>
<Properties xmlns="http://schemas.openxmlformats.org/officeDocument/2006/custom-properties" xmlns:vt="http://schemas.openxmlformats.org/officeDocument/2006/docPropsVTypes"/>
</file>