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tranzīta ielu finansēšanu, mērķdotācijas apmēra pašvaldību autoceļiem un ielām noteikšanas principu pilnveides iespējām”"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veikt grozījumus </w:t>
      </w:r>
      <w:r w:rsidR="00000000" w:rsidRPr="00000000" w:rsidDel="00000000">
        <w:rPr>
          <w:rtl w:val="0"/>
        </w:rPr>
        <w:t xml:space="preserve">Ministru kabineta 2008. gada 11. marta noteikumos Nr. 173 “Valsts pamatbudžeta valsts autoceļu fonda programmai piešķirto līdzekļu izlietošanas kārtība”</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papildu finansējuma piešķiršanu Satiksmes ministrijai 6,15 milj. EUR apmērā gadā skatīt likumprojekta "Par valsts budžetu 2025. gadam un  budžeta ietvaru 2025., 2026. un 2027. gadam" sagatavošanas procesā kopā ar visu ministriju un citu centrālo valsts iestāžu prioritāro pasākumu pieteikumiem, ievērojot valsts budžeta finansiālās iespējas.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24-TA-1047</w:t>
    </w:r>
    <w:r>
      <w:br/>
    </w:r>
    <w:r w:rsidR="00000000" w:rsidRPr="00000000" w:rsidDel="00000000">
      <w:rPr>
        <w:rtl w:val="0"/>
      </w:rPr>
      <w:t xml:space="preserve">Izdrukāts 29.07.2026. 22.09 - 1.0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mk_sēdes_protokollēmuma_projekts_24-TA-1047.docx</dc:title>
</cp:coreProperties>
</file>

<file path=docProps/custom.xml><?xml version="1.0" encoding="utf-8"?>
<Properties xmlns="http://schemas.openxmlformats.org/officeDocument/2006/custom-properties" xmlns:vt="http://schemas.openxmlformats.org/officeDocument/2006/docPropsVTypes"/>
</file>