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Fridriha Candera ielā, Rīgā, valstij piederošās 1/2 domājamās daļas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un otro daļu, 4. panta ceturtās daļas 7. punktu un 5. panta pirmo daļu atļaut valsts akciju sabiedrībai "Valsts nekustamie īpašumi" pārdot izsolē, ievērojot Publiskas personas mantas atsavināšanas likuma 14. panta nosacījumus, valstij piederošo 1/2 domājamo daļu no nekustamā īpašuma (nekustamā īpašuma kadastra Nr. 0100 076 0099) – zemes vienības (zemes vienības kadastra apzīmējums 0100 076 0099) 0,3714 ha kopplatībā un piecām būvēm (būvju kadastra apzīmējumi 0100 076 0099 001, 0100 076 0099 002, 0100 076 0099 003, 0100 076 0099 005 un 0100 076 0099 007) – Fridriha Candera ielā 2, 2B un 2C, Rīgā (turpmāk – nekustamais īpašums),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22-TA-16</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22-TA-16</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rīkojuma_projekts_22-TA-16.docx</dc:title>
</cp:coreProperties>
</file>

<file path=docProps/custom.xml><?xml version="1.0" encoding="utf-8"?>
<Properties xmlns="http://schemas.openxmlformats.org/officeDocument/2006/custom-properties" xmlns:vt="http://schemas.openxmlformats.org/officeDocument/2006/docPropsVTypes"/>
</file>