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budžetu 2023. gadam un budžeta ietvaru 2023., 2024. un 2025. gadam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Budžeta ietvars 2023., 2024. un 2025.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Ar šā likuma sagatavošanu un ar valsts budžetu saistīto lēmumu pieņemšanu un rīcību īsteno Fiskālās disciplīnas likumā noteiktos fiskālās politikas principus un šādus vidēja termiņa budžeta politikas prioritāros attīstības virzienus: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konkurētspēja;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 kvalitāte, cilvēka un sabiedrības veselība.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iekšzemes kopprodukta prognoze 2015. gada salīdzināmajās cenās 2023. gadam 28 490 000 000 </w:t>
      </w:r>
      <w:r w:rsidR="00000000" w:rsidRPr="00000000" w:rsidDel="00000000">
        <w:rPr>
          <w:i w:val="1"/>
          <w:rtl w:val="0"/>
        </w:rPr>
        <w:t xml:space="preserve">euro</w:t>
      </w:r>
      <w:r w:rsidR="00000000" w:rsidRPr="00000000" w:rsidDel="00000000">
        <w:rPr>
          <w:rtl w:val="0"/>
        </w:rPr>
        <w:t xml:space="preserve"> apmērā, 2024. gadam 29 349 000 000 </w:t>
      </w:r>
      <w:r w:rsidR="00000000" w:rsidRPr="00000000" w:rsidDel="00000000">
        <w:rPr>
          <w:i w:val="1"/>
          <w:rtl w:val="0"/>
        </w:rPr>
        <w:t xml:space="preserve">euro </w:t>
      </w:r>
      <w:r w:rsidR="00000000" w:rsidRPr="00000000" w:rsidDel="00000000">
        <w:rPr>
          <w:rtl w:val="0"/>
        </w:rPr>
        <w:t xml:space="preserve">apmērā un 2025. gadam 30 226 000 000 </w:t>
      </w:r>
      <w:r w:rsidR="00000000" w:rsidRPr="00000000" w:rsidDel="00000000">
        <w:rPr>
          <w:i w:val="1"/>
          <w:rtl w:val="0"/>
        </w:rPr>
        <w:t xml:space="preserve">euro</w:t>
      </w:r>
      <w:r w:rsidR="00000000" w:rsidRPr="00000000" w:rsidDel="00000000">
        <w:rPr>
          <w:rtl w:val="0"/>
        </w:rPr>
        <w:t xml:space="preserve"> apmērā. Šā likuma sagatavošanā izmantota iekšzemes kopprodukta pieauguma tempa prognoze 2023. gadam -0,6 procenti, 2024. gadam 3,0 procenti, 2025. gadam 3,0 procenti. Šā likuma sagatavošanā izmantota iekšzemes kopprodukta prognoze faktiskajās cenās 2023. gadam 42 617 000 000 </w:t>
      </w:r>
      <w:r w:rsidR="00000000" w:rsidRPr="00000000" w:rsidDel="00000000">
        <w:rPr>
          <w:i w:val="1"/>
          <w:rtl w:val="0"/>
        </w:rPr>
        <w:t xml:space="preserve">euro</w:t>
      </w:r>
      <w:r w:rsidR="00000000" w:rsidRPr="00000000" w:rsidDel="00000000">
        <w:rPr>
          <w:rtl w:val="0"/>
        </w:rPr>
        <w:t xml:space="preserve"> apmērā, 2024. gadam 44 911 000 000 </w:t>
      </w:r>
      <w:r w:rsidR="00000000" w:rsidRPr="00000000" w:rsidDel="00000000">
        <w:rPr>
          <w:i w:val="1"/>
          <w:rtl w:val="0"/>
        </w:rPr>
        <w:t xml:space="preserve">euro</w:t>
      </w:r>
      <w:r w:rsidR="00000000" w:rsidRPr="00000000" w:rsidDel="00000000">
        <w:rPr>
          <w:rtl w:val="0"/>
        </w:rPr>
        <w:t xml:space="preserve"> apmērā un 2025. gadam 47 479 000 000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potenciālā iekšzemes kopprodukta prognoze 2015. gada salīdzināmajās cenās 2023. gadam 29 097 000 000 </w:t>
      </w:r>
      <w:r w:rsidR="00000000" w:rsidRPr="00000000" w:rsidDel="00000000">
        <w:rPr>
          <w:i w:val="1"/>
          <w:rtl w:val="0"/>
        </w:rPr>
        <w:t xml:space="preserve">euro</w:t>
      </w:r>
      <w:r w:rsidR="00000000" w:rsidRPr="00000000" w:rsidDel="00000000">
        <w:rPr>
          <w:rtl w:val="0"/>
        </w:rPr>
        <w:t xml:space="preserve"> apmērā, 2024. gadam 29 699 000 000 </w:t>
      </w:r>
      <w:r w:rsidR="00000000" w:rsidRPr="00000000" w:rsidDel="00000000">
        <w:rPr>
          <w:i w:val="1"/>
          <w:rtl w:val="0"/>
        </w:rPr>
        <w:t xml:space="preserve">euro</w:t>
      </w:r>
      <w:r w:rsidR="00000000" w:rsidRPr="00000000" w:rsidDel="00000000">
        <w:rPr>
          <w:rtl w:val="0"/>
        </w:rPr>
        <w:t xml:space="preserve"> apmērā un 2025.gadam 30 356 000 000 </w:t>
      </w:r>
      <w:r w:rsidR="00000000" w:rsidRPr="00000000" w:rsidDel="00000000">
        <w:rPr>
          <w:i w:val="1"/>
          <w:rtl w:val="0"/>
        </w:rPr>
        <w:t xml:space="preserve">euro</w:t>
      </w:r>
      <w:r w:rsidR="00000000" w:rsidRPr="00000000" w:rsidDel="00000000">
        <w:rPr>
          <w:rtl w:val="0"/>
        </w:rPr>
        <w:t xml:space="preserve"> apmērā. Šā likuma sagatavošanā izmantota potenciālā iekšzemes kopprodukta pieauguma tempa prognoze 2023. gadam 1,9 procenti, 2024. gadam 2,1 procents, 2025. gadam 2,2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strukturālās bilances mērķis atbilstoši Eiropas Kontu sistēmas metodoloģijai, kas noteikta saskaņā ar Eiropas Parlamenta un Padomes 2013. gada 21. maija regulu (ES) Nr. 549/2013 par Eiropas nacionālo un reģionālo kontu sistēmu Eiropas Savienībā (turpmāk — Eiropas nacionālo un reģionālo kontu sistēma Eiropas Savienībā), 2023. gadā ir -0,5 procenti no iekšzemes kopprodukta, 2024. gadā -0,5 procenti no iekšzemes kopprodukta un 2025. gadā -0,5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no vispārējās valdības budžeta strukturālās bilances mērķa tiek izslēgti šādi izdevumi:</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vienreizējie izdevumi ar Covid-19 izplatību saistītā valsts apdraudējuma un tā seku novēršanas un pārvarēšanas pasākumiem;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vienreizējie izdevumi energoresursu cenu ārkārtēja pieauguma samazināšanas pasākumiem;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vienreizējie izdevumi valsts aizsardzībai un iekšējai drošībai: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investīcijām valsts sabiedrības ar ierobežotu atbildību “Latvijas Televīzija” darbības nepārtrauktības nodrošināšanai valsts ārējā apdraudējuma gadījumā;</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valsts robežas infrastruktūras izveidei un investīcijām valsts drošības iestāžu stiprināšanā;</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valsts aizsardzības spēju stiprināšanai;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speciālo ugunsdzēsības un glābšanas transportlīdzekļu iegādei;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Valsts ugunsdzēsības un glābšanas dienesta depo - katastrofu pārvaldības centru izbūvei;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iedzīvotāju nodrošināšanai ar pirmās nepieciešamības rūpniecības precēm valsts apdraudējuma gadījumā;</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g)</w:t>
      </w:r>
      <w:r w:rsidR="00000000" w:rsidRPr="00000000" w:rsidDel="00000000">
        <w:rPr>
          <w:rtl w:val="0"/>
        </w:rPr>
        <w:t xml:space="preserve"> </w:t>
      </w:r>
      <w:r w:rsidR="00000000" w:rsidRPr="00000000" w:rsidDel="00000000">
        <w:rPr>
          <w:rtl w:val="0"/>
        </w:rPr>
        <w:t xml:space="preserve">kiberdrošības stiprināšanai;</w:t>
      </w:r>
    </w:p>
    <w:p w:rsidP="00000000" w:rsidRDefault="00000000" w:rsidR="00000000" w:rsidRPr="00000000" w:rsidDel="00000000">
      <w:pPr>
        <w:numPr>
          <w:ilvl w:val="2"/>
          <w:numId w:val="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rtl w:val="0"/>
        </w:rPr>
        <w:t xml:space="preserve"> </w:t>
      </w:r>
      <w:r w:rsidR="00000000" w:rsidRPr="00000000" w:rsidDel="00000000">
        <w:rPr>
          <w:rtl w:val="0"/>
        </w:rPr>
        <w:t xml:space="preserve">Valsts policijas Rīgas reģiona pārvaldes struktūrvienību nodrošināšanai ar atbilstošām telpām. </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vienreizējie izdevumi Ukrainas civiliedzīvotāju atbalstam Latvijā;</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vienreizēji izdevumi Ukrainas atbalstam;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aizsardzības bāzes izdevumu pieaugums pret iepriekšējo gadu 100% apmērā. Pirmajā gadā pēc pieauguma 80% apmērā, otrajā gadā pēc pieauguma 60% apmērā, trešajā gadā pēc pieauguma 40% apmērā un ceturtajā gadā pēc pieauguma 20%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bilance atbilstoši Eiropas nacionālo un reģionālo kontu sistēmas Eiropas Savienībā metodoloģijai, neskaitot fiskālā nodrošinājuma rezervi, 2023. gadā ir -4,2 procenti no iekšzemes kopprodukta, 2024. gadā -2,3 procenti no iekšzemes kopprodukta un 2025. gadā -2,0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finansiālās bilances apjomu un maksimāli pieļaujamo valsts budžeta izdevumu kopapjomu 2023., 2024. un 2025. gadam saskaņā ar šā likuma 1.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ieņēmumu prognozes 2023., 2024. un 2025. gadam saskaņā ar šā likuma 1. un 2.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2023., 2024. un 2025. gadā izlīdzinātos izdevumus nosaka faktiski attiecīgajā gadā prognozēto izdevumu apjomā.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2023. gadā 2 170 589 413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1 299 830 675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671 505 055 </w:t>
      </w:r>
      <w:r w:rsidR="00000000" w:rsidRPr="00000000" w:rsidDel="00000000">
        <w:rPr>
          <w:i w:val="1"/>
          <w:rtl w:val="0"/>
        </w:rPr>
        <w:t xml:space="preserve">euro</w:t>
      </w:r>
      <w:r w:rsidR="00000000" w:rsidRPr="00000000" w:rsidDel="00000000">
        <w:rPr>
          <w:rtl w:val="0"/>
        </w:rPr>
        <w:t xml:space="preserve"> un valsts parāda apkalpošanas izlīdzinātos izdevumus 199 253 683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2024. gadā  2 537 097 521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1 564 329 561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639 196 774 </w:t>
      </w:r>
      <w:r w:rsidR="00000000" w:rsidRPr="00000000" w:rsidDel="00000000">
        <w:rPr>
          <w:i w:val="1"/>
          <w:rtl w:val="0"/>
        </w:rPr>
        <w:t xml:space="preserve">euro</w:t>
      </w:r>
      <w:r w:rsidR="00000000" w:rsidRPr="00000000" w:rsidDel="00000000">
        <w:rPr>
          <w:rtl w:val="0"/>
        </w:rPr>
        <w:t xml:space="preserve"> un valsts parāda apkalpošanas izlīdzinātos izdevumus 333 571 186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2025. gadā  2 313 336 223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1 181 109 743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673 172 794 </w:t>
      </w:r>
      <w:r w:rsidR="00000000" w:rsidRPr="00000000" w:rsidDel="00000000">
        <w:rPr>
          <w:i w:val="1"/>
          <w:rtl w:val="0"/>
        </w:rPr>
        <w:t xml:space="preserve">euro</w:t>
      </w:r>
      <w:r w:rsidR="00000000" w:rsidRPr="00000000" w:rsidDel="00000000">
        <w:rPr>
          <w:rtl w:val="0"/>
        </w:rPr>
        <w:t xml:space="preserve"> un valsts parāda apkalpošanas izlīdzinātos izdevumus  459 053 686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fiskālā nodrošinājuma rezerve 2023., 2024. un 2025. gadam ir 0,1 procents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koriģētos maksimāli pieļaujamos valsts budžeta izdevumus 2023. gadā 12 544 536 351</w:t>
      </w:r>
      <w:r w:rsidR="00000000" w:rsidRPr="00000000" w:rsidDel="00000000">
        <w:rPr>
          <w:i w:val="1"/>
          <w:rtl w:val="0"/>
        </w:rPr>
        <w:t xml:space="preserve"> euro</w:t>
      </w:r>
      <w:r w:rsidR="00000000" w:rsidRPr="00000000" w:rsidDel="00000000">
        <w:rPr>
          <w:rtl w:val="0"/>
        </w:rPr>
        <w:t xml:space="preserve">, 2024. gadā 12 168 124 634 </w:t>
      </w:r>
      <w:r w:rsidR="00000000" w:rsidRPr="00000000" w:rsidDel="00000000">
        <w:rPr>
          <w:i w:val="1"/>
          <w:rtl w:val="0"/>
        </w:rPr>
        <w:t xml:space="preserve">euro</w:t>
      </w:r>
      <w:r w:rsidR="00000000" w:rsidRPr="00000000" w:rsidDel="00000000">
        <w:rPr>
          <w:rtl w:val="0"/>
        </w:rPr>
        <w:t xml:space="preserve"> un 2025. gadā 12 659 687 656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Ministru kabinetam ir tiesības pārsniegt koriģētos maksimāli pieļaujamos valsts budžeta izdevumus, ja pārsniegums ir saistīts ar 5. pantā noteiktajiem izdevumiem.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maksimāli pieļaujamo valsts budžeta kopējo izdevumu apjomu katrai ministrijai un citai centrālajai valsts iestādei 2023., 2024. un 2025. gadam saskaņā ar šā likuma 3.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Ikgadējais pašvaldību kopējais aizņēmumu pieļaujamais palielinājums 2023. gadā ir 178 138 258 </w:t>
      </w:r>
      <w:r w:rsidR="00000000" w:rsidRPr="00000000" w:rsidDel="00000000">
        <w:rPr>
          <w:i w:val="1"/>
          <w:rtl w:val="0"/>
        </w:rPr>
        <w:t xml:space="preserve">euro</w:t>
      </w:r>
      <w:r w:rsidR="00000000" w:rsidRPr="00000000" w:rsidDel="00000000">
        <w:rPr>
          <w:rtl w:val="0"/>
        </w:rPr>
        <w:t xml:space="preserve">, 2024. gadā 141 733 808 </w:t>
      </w:r>
      <w:r w:rsidR="00000000" w:rsidRPr="00000000" w:rsidDel="00000000">
        <w:rPr>
          <w:i w:val="1"/>
          <w:rtl w:val="0"/>
        </w:rPr>
        <w:t xml:space="preserve">euro</w:t>
      </w:r>
      <w:r w:rsidR="00000000" w:rsidRPr="00000000" w:rsidDel="00000000">
        <w:rPr>
          <w:rtl w:val="0"/>
        </w:rPr>
        <w:t xml:space="preserve">, tajā skaitā  23 595 550 </w:t>
      </w:r>
      <w:r w:rsidR="00000000" w:rsidRPr="00000000" w:rsidDel="00000000">
        <w:rPr>
          <w:i w:val="1"/>
          <w:rtl w:val="0"/>
        </w:rPr>
        <w:t xml:space="preserve">euro</w:t>
      </w:r>
      <w:r w:rsidR="00000000" w:rsidRPr="00000000" w:rsidDel="00000000">
        <w:rPr>
          <w:rtl w:val="0"/>
        </w:rPr>
        <w:t xml:space="preserve">  Rīgas valstspilsētas pašvaldībai projekta “Satiksmes pārvads no Tvaika ielas uz Kundziņsalu” mērķu sasniegšanai, un 2025. gadā 118 138 258 </w:t>
      </w:r>
      <w:r w:rsidR="00000000" w:rsidRPr="00000000" w:rsidDel="00000000">
        <w:rPr>
          <w:i w:val="1"/>
          <w:rtl w:val="0"/>
        </w:rPr>
        <w:t xml:space="preserve">euro</w:t>
      </w:r>
      <w:r w:rsidR="00000000" w:rsidRPr="00000000" w:rsidDel="00000000">
        <w:rPr>
          <w:rtl w:val="0"/>
        </w:rPr>
        <w:t xml:space="preserve">. Sagatavojot likumu par valsts budžetu 2024. gadam un budžeta ietvaru 2024., 2025. un 2026. gadam, ikgadējais aizņēmumu pieļaujamais palielinājums tiek precizēts, tajā skaitā projekta “Satiksmes pārvads no Tvaika ielas uz Kundziņsalu” īstenošanai atbilstoši projekta izpildes laika grafikam, bet ne vairāk kā 23 595 550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2023., 2024. un 2025. gadam galvenā aizņēmumu prioritāte ir aizņēmumi Eiropas Savienības un pārējās ārvalstu finanšu palīdzības līdzfinansēto projektu īstenošanai, aizņēmumi Eiropas Savienības Atveseļošanas fonda finansēto projektu īstenošanai, un  aizņēmumi jaunas pirmsskolas izglītības iestādes būvniecībai vai esošas pirmsskolas izglītības iestādes paplašināšanai, lai mazinātu pašvaldībā reģistrēto bērnu rindu uz vietām pirmsskolas izglītības iestādēs.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finansējumu investīciju projektiem, kas atbilst Rīgas valstspilsētas apstiprinātai pašvaldības attīstības programmai un lietderīgu un ilgtspējīgu investīciju īstenošanu pašvaldības autonomās funkcijas nodrošināšanai, Rīgas valstspilsētas pašvaldība var emitēt obligācijas. Ministru kabinets nosaka obligāciju emitēšanas kārtību un nosacījumus. Sagatavojot likumu par valsts budžetu 2024. gadam un budžeta ietvaru 2024., 2025. un 2026. gadam, tiek noteikts ikgadējais finanšu resursu apmērs obligāciju emitēšanai, papildus šā panta pirmajā daļā minētajam aizņēmumu palielinājumam.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iedzīvotāju ienākuma nodokļa ieņēmumu sadalījums starp valsts budžetu un pašvaldību budžetiem 2023., 2024. un 2025. gadā ir šāds: pašvaldību budžetiem — 75 procenti un valsts budžetam — 25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valsts kapitālsabiedrības negatīvā ietekme uz vispārējās valdības budžeta bilanci, kas aprēķināta saskaņā ar šā likuma 12. pielikumu, 2024. un 2025.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Kapitāla daļu turētājs nodrošina šā nosacījuma izpildi un, ja nepieciešama Ministru kabineta piekrišana, līdz likumprojekta par valsts budžetu kārtējam gadam un vidēja termiņa budžeta ietvaru sagatavošanas grafikā noteiktajam termiņam iesniedz Ministru kabinetam attiecīgu ziņojumu.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pašvaldību kapitālsabiedrības negatīvā ietekme uz vispārējās valdības budžeta bilanci, kas aprēķināta saskaņā ar šā likuma 12. pielikumu, 2024. un 2025.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ja vien attiecīgā pašvaldība nenodrošina, ka tās un visu tās institūciju, kas iekļautas vispārējās valdības sektorā, kopējā ietekme uz vispārējās valdības budžeta bilanci tiek prognozēta neitrāla vai pozitīva un par to ir saņemts Finanšu ministrijas atzinums. Kapitāla daļu turētājs nodrošina šā nosacījuma izpildi un, ja nepieciešama Ministru kabineta piekrišana, līdz likumprojekta par valsts budžetu kārtējam gadam un vidēja termiņa budžeta ietvaru sagatavošanas grafikā noteiktajam termiņam iesniedz Finanšu ministrijai attiecīgu ziņojumu, kuru Finanšu ministrija tālāk virza izskatīšanai Ministru kabinetā.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informācija par vispārējās valdības sektorā iekļauto kapitālsabiedrību faktisko un prognozēto ietekmi uz vispārējās valdības izdevumiem, ieņēmumiem, budžeta bilanci un parādu ir publiski pieejama un Finanšu ministrija to iekļauj šā likuma paskaidrojumos.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virssaistību neitrālu ietekmi uz vispārējās valdības budžeta bilanci Eiropas Savienības struktūrfondu un Kohēzijas fonda darbības programmas “Izaugsme un nodarbinātība” ietvaros, virssaistības tiek kompensētas no Eiropas Savienības fondu finansējuma līdz plānošanas perioda beigām atbilstoši Ministru kabineta lēmumam.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“Latvenergo” ieskaita valsts pamatbudžeta ieņēmumos dividenžu maksājumu 2023. gadā (par 2022. pārskata gadu) 64 procentu apmērā no pārskata gada peļņas, bet ne mazāk kā 129 544 780 </w:t>
      </w:r>
      <w:r w:rsidR="00000000" w:rsidRPr="00000000" w:rsidDel="00000000">
        <w:rPr>
          <w:i w:val="1"/>
          <w:rtl w:val="0"/>
        </w:rPr>
        <w:t xml:space="preserve">euro</w:t>
      </w:r>
      <w:r w:rsidR="00000000" w:rsidRPr="00000000" w:rsidDel="00000000">
        <w:rPr>
          <w:rtl w:val="0"/>
        </w:rPr>
        <w:t xml:space="preserve">, 2024. gadā (par 2023. pārskata gadu) 64 procentu apmērā no pārskata gada peļņas, bet ne mazāk kā 89 502 255 </w:t>
      </w:r>
      <w:r w:rsidR="00000000" w:rsidRPr="00000000" w:rsidDel="00000000">
        <w:rPr>
          <w:i w:val="1"/>
          <w:rtl w:val="0"/>
        </w:rPr>
        <w:t xml:space="preserve">euro</w:t>
      </w:r>
      <w:r w:rsidR="00000000" w:rsidRPr="00000000" w:rsidDel="00000000">
        <w:rPr>
          <w:rtl w:val="0"/>
        </w:rPr>
        <w:t xml:space="preserve"> un 2025. gadā (par 2024. pārskata gadu) 64 procentu apmērā no pārskata gada peļņas, bet ne mazāk kā 88 293 148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valsts meži” ieskaita valsts pamatbudžeta ieņēmumos dividenžu maksājumu 2023. gadā (par 2022. pārskata gadu) 64 procentu apmērā no pārskata gada peļņas, bet ne mazāk kā 162 510 081 </w:t>
      </w:r>
      <w:r w:rsidR="00000000" w:rsidRPr="00000000" w:rsidDel="00000000">
        <w:rPr>
          <w:i w:val="1"/>
          <w:rtl w:val="0"/>
        </w:rPr>
        <w:t xml:space="preserve">euro</w:t>
      </w:r>
      <w:r w:rsidR="00000000" w:rsidRPr="00000000" w:rsidDel="00000000">
        <w:rPr>
          <w:rtl w:val="0"/>
        </w:rPr>
        <w:t xml:space="preserve">, 2024. gadā (par 2023. pārskata gadu) 64 procentu apmērā no pārskata gada peļņas, bet ne mazāk kā 55 862 161 </w:t>
      </w:r>
      <w:r w:rsidR="00000000" w:rsidRPr="00000000" w:rsidDel="00000000">
        <w:rPr>
          <w:i w:val="1"/>
          <w:rtl w:val="0"/>
        </w:rPr>
        <w:t xml:space="preserve">euro</w:t>
      </w:r>
      <w:r w:rsidR="00000000" w:rsidRPr="00000000" w:rsidDel="00000000">
        <w:rPr>
          <w:rtl w:val="0"/>
        </w:rPr>
        <w:t xml:space="preserve"> un 2025. gadā (par 2024. pārskata gadu) 64 procentu apmērā no pārskata gada peļņas, bet ne mazāk kā 58 574 208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“Augstsprieguma tīkls” ieskaita valsts pamatbudžeta ieņēmumos dividenžu maksājumu 2024. gadā (par 2023. pārskata gadu) 64 procentu apmērā no pārskata gada peļņas, bet ne mazāk kā 14 014 067 </w:t>
      </w:r>
      <w:r w:rsidR="00000000" w:rsidRPr="00000000" w:rsidDel="00000000">
        <w:rPr>
          <w:i w:val="1"/>
          <w:rtl w:val="0"/>
        </w:rPr>
        <w:t xml:space="preserve">euro</w:t>
      </w:r>
      <w:r w:rsidR="00000000" w:rsidRPr="00000000" w:rsidDel="00000000">
        <w:rPr>
          <w:rtl w:val="0"/>
        </w:rPr>
        <w:t xml:space="preserve"> un 2025. gadā (par 2024. pārskata gadu) 64 procentu apmērā no pārskata gada peļņas, bet ne mazāk kā 14 676 376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Loto” ieskaita valsts pamatbudžeta ieņēmumos dividenžu maksājumu 2023. gadā (par 2022. pārskata gadu) 64 procentu apmērā no pārskata gada peļņas, bet ne mazāk kā 5 448 320 </w:t>
      </w:r>
      <w:r w:rsidR="00000000" w:rsidRPr="00000000" w:rsidDel="00000000">
        <w:rPr>
          <w:i w:val="1"/>
          <w:rtl w:val="0"/>
        </w:rPr>
        <w:t xml:space="preserve">euro</w:t>
      </w:r>
      <w:r w:rsidR="00000000" w:rsidRPr="00000000" w:rsidDel="00000000">
        <w:rPr>
          <w:rtl w:val="0"/>
        </w:rPr>
        <w:t xml:space="preserve">, 2024. gadā (par 2023. pārskata gadu) 64 procentu apmērā no pārskata gada peļņas, bet ne mazāk kā 5 635 200 </w:t>
      </w:r>
      <w:r w:rsidR="00000000" w:rsidRPr="00000000" w:rsidDel="00000000">
        <w:rPr>
          <w:i w:val="1"/>
          <w:rtl w:val="0"/>
        </w:rPr>
        <w:t xml:space="preserve">euro</w:t>
      </w:r>
      <w:r w:rsidR="00000000" w:rsidRPr="00000000" w:rsidDel="00000000">
        <w:rPr>
          <w:rtl w:val="0"/>
        </w:rPr>
        <w:t xml:space="preserve"> un 2025. gadā (par 2024. pārskata gadu) 64 procentu apmērā no pārskata gada peļņas, bet ne mazāk kā 5 636 480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valsts akciju sabiedrība “Latvijas Valsts radio un televīzijas centrs” ieskaita valsts pamatbudžeta ieņēmumos dividenžu maksājumu 2023. gadā (par 2022. pārskata gadu) 64 procentu apmērā no pārskata gada peļņas, bet ne mazāk kā 4 069 009 </w:t>
      </w:r>
      <w:r w:rsidR="00000000" w:rsidRPr="00000000" w:rsidDel="00000000">
        <w:rPr>
          <w:i w:val="1"/>
          <w:rtl w:val="0"/>
        </w:rPr>
        <w:t xml:space="preserve">euro</w:t>
      </w:r>
      <w:r w:rsidR="00000000" w:rsidRPr="00000000" w:rsidDel="00000000">
        <w:rPr>
          <w:rtl w:val="0"/>
        </w:rPr>
        <w:t xml:space="preserve">, 2024. gadā (par 2023. pārskata gadu) 64 procentu apmērā no pārskata gada peļņas, bet ne mazāk kā 3 725 094 </w:t>
      </w:r>
      <w:r w:rsidR="00000000" w:rsidRPr="00000000" w:rsidDel="00000000">
        <w:rPr>
          <w:i w:val="1"/>
          <w:rtl w:val="0"/>
        </w:rPr>
        <w:t xml:space="preserve">euro</w:t>
      </w:r>
      <w:r w:rsidR="00000000" w:rsidRPr="00000000" w:rsidDel="00000000">
        <w:rPr>
          <w:rtl w:val="0"/>
        </w:rPr>
        <w:t xml:space="preserve"> un 2025. gadā (par 2024. pārskata gadu) 64 procentu apmērā no pārskata gada peļņas, bet ne mazāk kā 3 365 105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Valsts budžets 2023.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budžetu 2023. gadam ieņēmumos 12 721 099 842 </w:t>
      </w:r>
      <w:r w:rsidR="00000000" w:rsidRPr="00000000" w:rsidDel="00000000">
        <w:rPr>
          <w:i w:val="1"/>
          <w:rtl w:val="0"/>
        </w:rPr>
        <w:t xml:space="preserve">euro</w:t>
      </w:r>
      <w:r w:rsidR="00000000" w:rsidRPr="00000000" w:rsidDel="00000000">
        <w:rPr>
          <w:rtl w:val="0"/>
        </w:rPr>
        <w:t xml:space="preserve"> apmērā saskaņā ar 1. un 2.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budžetu 2023. gadam izdevumos 14 672 520 291 </w:t>
      </w:r>
      <w:r w:rsidR="00000000" w:rsidRPr="00000000" w:rsidDel="00000000">
        <w:rPr>
          <w:i w:val="1"/>
          <w:rtl w:val="0"/>
        </w:rPr>
        <w:t xml:space="preserve">euro</w:t>
      </w:r>
      <w:r w:rsidR="00000000" w:rsidRPr="00000000" w:rsidDel="00000000">
        <w:rPr>
          <w:rtl w:val="0"/>
        </w:rPr>
        <w:t xml:space="preserve"> apmērā saskaņā ar 1., 3., 4. un 5.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mērķdotāciju apjomu pašvaldībām 515 136 361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pamata un vispārējās vidējās izglītības iestāžu, pašvaldību speciālās izglītības iestāžu, pašvaldību profesionālās izglītības iestāžu un daļējai interešu izglītības programmu pedagogu darba samaksai un valsts sociālās apdrošināšanas obligātajām iemaksām 396 969 832 </w:t>
      </w:r>
      <w:r w:rsidR="00000000" w:rsidRPr="00000000" w:rsidDel="00000000">
        <w:rPr>
          <w:i w:val="1"/>
          <w:rtl w:val="0"/>
        </w:rPr>
        <w:t xml:space="preserve">euro</w:t>
      </w:r>
      <w:r w:rsidR="00000000" w:rsidRPr="00000000" w:rsidDel="00000000">
        <w:rPr>
          <w:rtl w:val="0"/>
        </w:rPr>
        <w:t xml:space="preserve"> apmērā saskaņā ar 6. un 7. pielikumu;</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speciālo pirmsskolas izglītības grupu pedagogu darba samaksai un valsts sociālās apdrošināšanas obligātajām iemaksām, speciālajām izglītības iestādēm, kas nodrošina internāta pakalpojumus, 61 879 130 </w:t>
      </w:r>
      <w:r w:rsidR="00000000" w:rsidRPr="00000000" w:rsidDel="00000000">
        <w:rPr>
          <w:i w:val="1"/>
          <w:rtl w:val="0"/>
        </w:rPr>
        <w:t xml:space="preserve">euro</w:t>
      </w:r>
      <w:r w:rsidR="00000000" w:rsidRPr="00000000" w:rsidDel="00000000">
        <w:rPr>
          <w:rtl w:val="0"/>
        </w:rPr>
        <w:t xml:space="preserve"> apmērā saskaņā ar 8. pielikumu;</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izglītības iestādēs bērnu no piecu gadu vecuma izglītošanā nodarbināto pedagogu darba samaksai un valsts sociālās apdrošināšanas obligātajām iemaksām 55 302 936 </w:t>
      </w:r>
      <w:r w:rsidR="00000000" w:rsidRPr="00000000" w:rsidDel="00000000">
        <w:rPr>
          <w:i w:val="1"/>
          <w:rtl w:val="0"/>
        </w:rPr>
        <w:t xml:space="preserve">euro</w:t>
      </w:r>
      <w:r w:rsidR="00000000" w:rsidRPr="00000000" w:rsidDel="00000000">
        <w:rPr>
          <w:rtl w:val="0"/>
        </w:rPr>
        <w:t xml:space="preserve"> apmērā saskaņā ar 9. pielikumu;</w:t>
      </w:r>
    </w:p>
    <w:p w:rsidP="00000000" w:rsidRDefault="00000000" w:rsidR="00000000" w:rsidRPr="00000000" w:rsidDel="00000000">
      <w:pPr>
        <w:numPr>
          <w:ilvl w:val="1"/>
          <w:numId w:val="3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māksliniecisko kolektīvu vadītāju darba samaksai un valsts sociālās apdrošināšanas obligātajām iemaksām 984 463 </w:t>
      </w:r>
      <w:r w:rsidR="00000000" w:rsidRPr="00000000" w:rsidDel="00000000">
        <w:rPr>
          <w:i w:val="1"/>
          <w:rtl w:val="0"/>
        </w:rPr>
        <w:t xml:space="preserve">euro</w:t>
      </w:r>
      <w:r w:rsidR="00000000" w:rsidRPr="00000000" w:rsidDel="00000000">
        <w:rPr>
          <w:rtl w:val="0"/>
        </w:rPr>
        <w:t xml:space="preserve"> apmērā saskaņā ar 10. pielikumu.</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kabinetam, pamatojoties uz Izglītības un zinātnes ministrijas sniegto informāciju, ir tiesības mainīt šā panta pirmās daļas 1., 2. un 3. punktā minētajos pielikumos noteikto finansējuma sadalījumu pa pašvaldībām.</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kabinetam, pamatojoties uz Kultūras ministrijas sniegto informāciju, ir tiesības mainīt šā panta pirmās daļas 4. punktā minētajā pielikumā noteikto finansējuma sadalījumu pa pašvaldībām.</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ne vēlāk kā līdz 2023. gada 31. augustam.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budžeta dotāciju pašvaldībām 81 692 732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3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finanšu izlīdzināšanas fondam 81 088 436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par iemītniekiem veco ļaužu pansionātos un centros (par vienu iemītnieku 7848 </w:t>
      </w:r>
      <w:r w:rsidR="00000000" w:rsidRPr="00000000" w:rsidDel="00000000">
        <w:rPr>
          <w:i w:val="1"/>
          <w:rtl w:val="0"/>
        </w:rPr>
        <w:t xml:space="preserve">euro</w:t>
      </w:r>
      <w:r w:rsidR="00000000" w:rsidRPr="00000000" w:rsidDel="00000000">
        <w:rPr>
          <w:rtl w:val="0"/>
        </w:rPr>
        <w:t xml:space="preserve">), kuri tajos ievietoti līdz 1998. gada 1. janvārim, 604 296 </w:t>
      </w:r>
      <w:r w:rsidR="00000000" w:rsidRPr="00000000" w:rsidDel="00000000">
        <w:rPr>
          <w:i w:val="1"/>
          <w:rtl w:val="0"/>
        </w:rPr>
        <w:t xml:space="preserve">euro</w:t>
      </w:r>
      <w:r w:rsidR="00000000" w:rsidRPr="00000000" w:rsidDel="00000000">
        <w:rPr>
          <w:rtl w:val="0"/>
        </w:rPr>
        <w:t xml:space="preserve"> apmērā. Ministru kabinets nosaka kārtību, kādā pašvaldībām piešķir valsts budžeta dotāciju.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budžeta ilgtermiņa saistību maksimāli pieļaujamo apjomu saskaņā ar 11.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maksimālo valsts parādu 2023. gada beigās nominālvērtībā 19 200 000 000 </w:t>
      </w:r>
      <w:r w:rsidR="00000000" w:rsidRPr="00000000" w:rsidDel="00000000">
        <w:rPr>
          <w:i w:val="1"/>
          <w:rtl w:val="0"/>
        </w:rPr>
        <w:t xml:space="preserve">euro</w:t>
      </w:r>
      <w:r w:rsidR="00000000" w:rsidRPr="00000000" w:rsidDel="00000000">
        <w:rPr>
          <w:rtl w:val="0"/>
        </w:rPr>
        <w:t xml:space="preserve">, ņemot vērā Valsts kases administrētajiem aizņēmumiem un valsts parāda vērtspapīriem piesaistīto atvasināto finanšu instrumentu valūtas rezultātu.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valdības rīcības pieļaujamās robežas uz valsts budžetu attiecināmo valsts vārdā sniegto galvojumu parāda saistību segšanai 2023. gadā 236 577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aizdevumu kopējo palielinājumu 156 319 079 </w:t>
      </w:r>
      <w:r w:rsidR="00000000" w:rsidRPr="00000000" w:rsidDel="00000000">
        <w:rPr>
          <w:i w:val="1"/>
          <w:rtl w:val="0"/>
        </w:rPr>
        <w:t xml:space="preserve">euro</w:t>
      </w:r>
      <w:r w:rsidR="00000000" w:rsidRPr="00000000" w:rsidDel="00000000">
        <w:rPr>
          <w:rtl w:val="0"/>
        </w:rPr>
        <w:t xml:space="preserve"> apmērā, kas neietver šā likuma 36. pantā noteikto pašvaldību aizņēmumu kopējo palielinājumu, ja aizņēmumi tiek ņemti no valsts budžeta.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pašvaldību aizņēmumu kopējo palielinājumu 178 138 258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un pārējās ārvalstu finanšu palīdzības līdzfinansēto projektu īstenošanai, tajā skaitā kapitālsabiedrību pamatkapitāla palielināšanai ar mērķi nodrošināt pašvaldību līdzfinansējumu Eiropas Savienības fondu un pārējās ārvalstu finanšu palīdzības līdzfinansēto projektu īstenošanai, ar aizņēmuma apmēru, kas nepārsniedz projekta  attiecināmo izmaksu kopsummu;</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Atveseļošanas fonda finansēto projektu īstenošanai, ar aizņēmuma apmēru, kas nepārsniedz projekta Atveseļošanas fonda finansējuma kopsummu, un pievienotās vērtības nodokļa izmaksām;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Emisijas kvotu izsolīšanas instrumenta līdzfinansēto projektu īstenošanai, ar aizņēmuma apmēru, kas nepārsniedz projekta  attiecināmo izmaksu kopsummu;</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jaunas pirmsskolas izglītības iestādes būvniecības vai esošas pirmsskolas izglītības iestādes paplašināšanas investīciju projektiem, mazinot bērnu rindu uz vietām pirmsskolas izglītības iestādēs, un  pirmsskolas izglītības iestāžu infrastruktūras investīciju projektiem,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2023.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Vides aizsardzības un reģionālās attīstības ministrijas pozitīvs atzinums par projekta atbilstību apstiprinātajiem  kritērijiem. Ministru kabinets nosaka kārtību un kritērijus, kādā Vides aizsardzības un reģionālās attīstības ministrija izvērtē projektus;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pirmsskolas izglītības iestāžu infrastruktūras investīciju projektam iesniegts ne vēlāk kā līdz 2023.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investīciju projektu īstenošanai ilgtspējīgas pamatizglītības un vidējās izglītības funkcijas īstenošanai, kā arī skolu tīkla sakārtošanai,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2023.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Izglītības un zinātnes ministrijas pozitīvs atzinums par projekta atbilstību apstiprinātajiem kritērijiem. Ministru kabinets nosaka kārtību un kritērijus, kādā Izglītības un zinātnes ministrija izvērtē projektus;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2023.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iegādei skolēnu pārvadāšanai,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2023.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aizņēmuma pieprasījums iesniegts ne vēlāk kā līdz 2023.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ceļu būvniecības projektiem, tajā skaitā projektā paredzēto  inženiertīklu būvniecībai,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2023. gadu, nav mazāks par 15 procentiem un ikgadējais aizņēmuma apmērs nav lielāks par 85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Satiksmes ministrijas atzinums par projekta atbilstību apstiprinātiem vērtēšanas nosacījumiem, izņemot par būvprojektā paredzēto, bet ceļa funkcijā neiekļauto inženiertīklu būvniecību;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2023. gada 1. septembrim;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ne vairāk kā četriem noteiktiem prioritāriem investīciju projektiem,  ievērojot šādus nosacījumus: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Rīgas valstspilsētas pašvaldībai kā galvaspilsētai kopējā aizņēmumu summa 6 000 000 </w:t>
      </w:r>
      <w:r w:rsidR="00000000" w:rsidRPr="00000000" w:rsidDel="00000000">
        <w:rPr>
          <w:i w:val="1"/>
          <w:rtl w:val="0"/>
        </w:rPr>
        <w:t xml:space="preserve">euro</w:t>
      </w:r>
      <w:r w:rsidR="00000000" w:rsidRPr="00000000" w:rsidDel="00000000">
        <w:rPr>
          <w:rtl w:val="0"/>
        </w:rPr>
        <w:t xml:space="preserve"> apmērā, pārējām  pašvaldībām kopējā  aizņēmumu summa 1 500 000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ikgadējais līdzfinansējums, sākot ar 2023. gadu, nav mazāks par 15 procentiem un ikgadējais aizņēmuma apmērs nav lielāks par 85 procentiem no pašvaldības kopējām projekta izmaksām attiecīgajā gadā;</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pašvaldība 2023. gadā neapgūto aizņēmuma daļu nodrošina no pašvaldības 2024. gada budžeta līdzekļiem un projekta vai tā daļas pilnīgu pabeigšanu līdz 2024. gada 31. decembrim;</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aizņēmumu neattiecina uz pašvaldības budžeta līdzfinansējuma daļas  nodrošināšanu šā panta pirmajā daļā minētajos investīciju projektos;</w:t>
      </w:r>
    </w:p>
    <w:p w:rsidP="00000000" w:rsidRDefault="00000000" w:rsidR="00000000" w:rsidRPr="00000000" w:rsidDel="00000000">
      <w:pPr>
        <w:numPr>
          <w:ilvl w:val="2"/>
          <w:numId w:val="36"/>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ir sniegts domes lēmums, kas apliecina attiecīgā projekta atbilstību pašvaldības attīstības programmai un lietderīgu investīciju īstenošanu pašvaldības autonomās funkcijas nodrošināšanai;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piešķirto vidējā termiņa aizņēmumu izmaksai atbilstoši noslēgtajiem aizdevuma līgumiem.</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budžeta un finanšu vadībai ar atmaksas termiņu līdz trim gadiem no aizdevuma līguma noslēgšanas dienas.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pašvaldību sniegto galvojumu kopējo palielinājumu 56 914 872 </w:t>
      </w:r>
      <w:r w:rsidR="00000000" w:rsidRPr="00000000" w:rsidDel="00000000">
        <w:rPr>
          <w:i w:val="1"/>
          <w:rtl w:val="0"/>
        </w:rPr>
        <w:t xml:space="preserve">euro </w:t>
      </w:r>
      <w:r w:rsidR="00000000" w:rsidRPr="00000000" w:rsidDel="00000000">
        <w:rPr>
          <w:rtl w:val="0"/>
        </w:rPr>
        <w:t xml:space="preserve">apmērā pašvaldību kapitālsabiedrību aizņēmumiem investīciju projektu īstenošanai, kā arī pašvaldību kapitālsabiedrību aizņēmumiem no valsts budžeta kurināmā iegādei ar aizdevuma atmaksas termiņu līdz diviem gadiem un ar atlikto pamatsummas maksājumu līdz vienam gadam no aizdevuma līguma noslēgšanas dienas.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sniegto galvojumu savas kapitālsabiedrības aizņēmumam dzīvojamo īres māju būvniecībai, atjaunošanai, pārbūvei vai jaunuzceltu, atjaunotu vai pārbūvētu dzīvojamo īres māju iegādei saistībās (aizņēmumu, galvojumu un citu ilgtermiņa saistību  apmērā pret 2023. gada plānotajiem pamatbudžeta ieņēmumiem bez valsts budžeta transfertiem noteikta mērķa finansēšanai un iemaksām pašvaldību finanšu izlīdzināšanas fondā) iekļauj 75 procentu apmērā no galvotās aizņēmuma summas.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var saņemt aizņēmumu vai sniegt galvojumu Eiropas Savienības fondu un pārējās ārvalstu finanšu palīdzības līdzfinansētam projektam un Eiropas Savienības Atveseļošanas fonda finansētam projektam arī gadījumos, kad pašvaldības saistības (aizņēmumu, galvojumu un citas ilgtermiņa saistības) pārsniedz 20 procentus no kārtējā gada plānotajiem pamatbudžeta ieņēmumiem bez valsts budžeta transfertiem noteikta mērķa finansēšanai un iemaksām pašvaldību finanšu izlīdzināšanas fondā, ar nosacījumu, ka aizņēmums tiek ņemts vai galvojums tiek sniegts tikai šo projektu priekšfinansēšanas nodrošināšanai par Eiropas Savienības finansējuma un valsts budžeta dotācijas daļu, un pašvaldības dome ir  apliecinājusi, ka tā spēs pildīt savas saistības un veikt maksājumus, kuriem iestājies atmaksas termiņš.</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pašvaldībām nav tiesību uzņemties ilgtermiņa saistības atbilstoši likuma “Par pašvaldību budžetiem” 22. pantam, izņemot saistības:</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gadiem pašvaldību autonomo funkciju nodrošināšanai nepieciešamajiem pakalpojumiem, datortehnikas, sakaru un citas biroja tehnikas iegādei;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nodrošināšanai;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panta pirmajā  daļā minēto investīciju projektu īstenošanai;</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Publiskās un privātās partnerības likumā noteiktajā kārtībā akceptēto publiskās un privātās partnerības projektu īstenošanai.</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ministram ir tiesības mainīt valsts budžeta aizdevumu un pašvaldību aizņēmumu kopējos palielinājumus un, ja nepieciešams, noteikt aizņēmuma palielinājumu likumā “Par pašvaldību finanšu stabilizēšanu un pašvaldību finansiālās darbības uzraudzību” noteikto pasākumu izpildei, nepārsniedzot šo palielinājumu kopsummu, un par prioritāru nosakot aizņēmumus Eiropas Savienības fondu un pārējās ārvalstu finanšu palīdzības līdzfinansētiem projektiem un Eiropas Savienības Atveseļošanas fonda finansētiem projektiem.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prognozētie iedzīvotāju ienākuma nodokļa ieņēmumi pašvaldību budžetos ir 1 768 346 883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minēto iedzīvotāju ienākuma nodokļa prognozēto ieņēmumu procentuālais sadalījums pa ceturkšņiem tiek noteikts šādā apmērā: I ceturksnī — 24 procenti, II ceturksnī — 24 procenti, III ceturksnī — 26 procenti, IV ceturksnī — 26 procenti.</w:t>
      </w:r>
    </w:p>
    <w:p w:rsidP="00000000" w:rsidRDefault="00000000" w:rsidR="00000000" w:rsidRPr="00000000" w:rsidDel="00000000">
      <w:pPr>
        <w:numPr>
          <w:ilvl w:val="0"/>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izvērtē šā panta pirmajā daļā minēto faktisko iedzīvotāju ienākuma nodokļa ieņēmumu izpildi par iepriekšējo ceturksni salīdzinājumā ar prognozēto atbilstoši šā panta otrajā daļā minētajam procentuālajam sadalījumam. Ja tiek konstatēta iedzīvotāju ienākuma nodokļa ieņēmumu neizpilde par ceturksni (no gada sākuma), tad, pamatojoties uz finanšu ministra rīkojumu, to kompensē no valsts pamatbudžetā ieskaitāmās iedzīvotāju ienākuma nodokļa daļas. Ja pašvaldībām tiek izmaksāta kompensācija, bet turpmākajā periodā prognoze tiek pārpildīta, Finanšu ministrijai ir tiesības izmaksātās kompensācijas apmērā veikt iedzīvotāju ienākuma nodokļa ieņēmumu pārpildes ieturēšanu un attiecināt to uz valsts pamatbudžetā ieskaitāmo iedzīvotāju ienākuma nodokli.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pašvaldību funkciju veikšanai sabalansētu naudas plūsmu, Valsts ieņēmumu dienests no attiecināto ieņēmumu konta līdzekļus 15 procentu apmērā no mēnesim prognozētā iedzīvotāju ienākuma nodokļa ieņēmumu apmēra ieskaita katra mēneša pirmajā, otrajā un trešajā nedēļā pašvaldību budžeta ieņēmumu sadales kontā Valsts kasē, un pēc vienotajā nodokļu kontā saņemto ieņēmumu attiecināšanas Valsts ieņēmumu dienests par veiktajiem maksājumiem attiecīgajā mēnesī samazina pašvaldību budžeta ieņēmumu sadales kontā pārskaitāmo iedzīvotāju ienākuma nodokļa summu.</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kase pēc līdzekļu saņemšanas pašvaldību budžeta ieņēmumu sadales kontā attiecīgajā mēneša nedēļā pārskaita naudas līdzekļus pašvaldībām kā iedzīvotāju ienākuma nodokļa ieņēmumus, vienlaikus veicot iemaksas pašvaldību finanšu izlīdzināšanas fondā, ieturot atbilstošās summas no pašvaldību budžetiem noteiktās iedzīvotāju ienākuma nodokļa ieņēmumu sadalījuma daļas un ieskaitot tās minētajā fondā.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“62. Mērķdotācijas pašvaldībām” programmas 01.00.00 “Mērķdotācijas izglītības pasākumiem”, programmas 05.00.00 “Mērķdotācijas pašvaldībām — pašvaldību izglītības iestāžu pedagogu darba samaksai un valsts sociālās apdrošināšanas obligātajām iemaksām” un programmas 10.00.00 “Mērķdotācijas pašvaldībām — pašvaldību izglītības iestādēs bērnu no piecu gadu vecuma izglītošanā nodarbināto pedagogu darba samaksai un valsts sociālās apdrošināšanas obligātajām iemaksām” izpildītājs ir Izglītības un zinātnes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“62. Mērķdotācijas pašvaldībām” programmas 02.00.00 “Mērķdotācijas pašvaldību tautas mākslas kolektīvu vadītāju darba samaksai un valsts sociālās apdrošināšanas obligātajām iemaksām” izpildītājs ir Kultūras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“64. Dotācija pašvaldībām” un budžeta resora “74. Gadskārtējā valsts budžeta izpildes procesā pārdalāmais finansējums” programmu izpildītājs ir Finanšu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saskaņā ar likumu “Par valsts sociālo apdrošināšanu”:</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apdrošināšanas obligāto iemaksu sadalījums 2023. gadā ir šāds: sociālās apdrošināšanas speciālajā budžeta ieņēmumos tiek ieskaitīti 97,10 procenti un pamatbudžeta ieņēmumos veselības apdrošināšanai 2,90 procenti;</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apdrošināšanas speciālā budžeta ieņēmumu sadalei 2023. gadā piemēro šādus ieņēmumu īpatsvarus: valsts pensiju speciālajā budžetā —  70,84 procenti; nodarbinātības speciālajā budžetā —  4,49 procenti; darba negadījumu speciālajā budžetā — 2,13 procenti; invaliditātes, maternitātes un slimības speciālajā budžetā — 22,54 procenti.</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kabinetam ir tiesības mainīt šā panta pirmās daļas 2. punktā noteiktos sociālās apdrošināšanas speciālo budžetu īpatsvarus, ja:</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stājas spēkā normatīvie akti, kuriem ir finansiāla ietekme uz valsts sociālās apdrošināšanas speciālā budžeta izdevumiem;</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mainās pabalstu un pensiju saņēmēju skaits un pabalstu un pensiju vidējie apmēri un papildus nepieciešamos izdevumus nesedz kādā no speciālajiem budžetiem plānotais apropriācijas apmērs, nepārsniedzot sociālās apdrošināšanas speciālajam budžetam šajā likumā noteikto apropriācijas apmēru;</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kādā no speciālajiem budžetiem faktiskie ieņēmumi no valsts sociālās apdrošināšanas obligāto iemaksu sadales nesasniedz plānoto apmēru un naudas līdzekļu atlikums gada sākumā nesedz finansējuma deficītu speciālā budžeta pakalpojumu izmaksām, nepārsniedzot sociālās apdrošināšanas speciālajam budžetam šajā likumā noteikto ieņēmumu no valsts sociālās apdrošināšanas obligāto iemaksu sadales apmēru.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Maksa, kas tiek ieturēta no valsts pensijas, pabalsta vai atlīdzības par to piegādi saņēmēja dzīvesvietā, ir 2,39 </w:t>
      </w:r>
      <w:r w:rsidR="00000000" w:rsidRPr="00000000" w:rsidDel="00000000">
        <w:rPr>
          <w:i w:val="1"/>
          <w:rtl w:val="0"/>
        </w:rPr>
        <w:t xml:space="preserve">euro</w:t>
      </w:r>
      <w:r w:rsidR="00000000" w:rsidRPr="00000000" w:rsidDel="00000000">
        <w:rPr>
          <w:rtl w:val="0"/>
        </w:rPr>
        <w:t xml:space="preserve">. Ieturēto maksu par valsts pensijas, pabalsta vai atlīdzības piegādi saņēmēja dzīvesvietā Valsts sociālās apdrošināšanas aģentūra pārskaita valsts akciju sabiedrībai “Latvijas Pasts” no tā budžeta līdzekļiem, no kura tiek izmaksāta valsts pensija, pabalsts vai atlīdzība.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resursu efektīvu izlietojumu, piesaistīto ekspertu vietā, ja nepieciešams, Fiskālās disciplīnas padome ārējos normatīvajos aktos noteikto funkciju izpildei ir tiesīga algot darbiniekus kārtējam gadam piešķirto valsts budžeta līdzekļu ietvaros. Fiskālās disciplīnas padome pielīdzināma budžeta iestādei Likuma par budžetu un finanšu vadību izpratnē.</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Papildus Fiskālās disciplīnas likumā noteiktajai Fiskālās disciplīnas padomes kompetencei Fiskālās disciplīnas padome veic Eiropas Parlamenta un Padomes 2013. gada 21. maija regulas (ES) Nr. 473/2013 par kopīgiem noteikumiem budžeta plānu projektu uzraudzībai un novērtēšanai un pārmērīga budžeta deficīta novēršanai </w:t>
      </w:r>
      <w:r w:rsidR="00000000" w:rsidRPr="00000000" w:rsidDel="00000000">
        <w:rPr>
          <w:i w:val="1"/>
          <w:rtl w:val="0"/>
        </w:rPr>
        <w:t xml:space="preserve">Euro</w:t>
      </w:r>
      <w:r w:rsidR="00000000" w:rsidRPr="00000000" w:rsidDel="00000000">
        <w:rPr>
          <w:rtl w:val="0"/>
        </w:rPr>
        <w:t xml:space="preserve"> zonas dalībvalstīs noteikto makroekonomisko prognožu apstiprināšanu.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Aizsardzības ministrijas budžeta ietvaros sadarbībai ar starptautiskajām un nevalstiskajām organizācijām nepieciešamo finansējumu un tā izlietojumu, nodrošinot iesaisti starptautiskās un nacionālās drošības stiprināšanā, nosaka Ministru kabinets.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Ministru kabinets nosaka kārtību, kādā aprēķina un piešķir finansējumu programmas “Latvijas skolas soma” īstenošanai no 2023. gada 1. janvāra līdz 2023. gada 31. decembrim izglītības iestāžu, kuras īsteno klātienes vispārējās un profesionālās izglītības programmas, dibinātājiem, kā arī programmas attiecināmās izmaksas un finansējuma izlietošanas nosacījumus.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izdevumus, kas 2023. gadā radušies pašvaldībām par sociālās rehabilitācijas un uzvedības korekcijas pakalpojumiem, kas tiek nodrošināti likuma “Par audzinoša rakstura piespiedu līdzekļu piemērošanu bērniem” pārejas noteikumu 7. punktā minētajiem bērniem, sedz no Tieslietu ministrijas budžeta apakšprogrammas 04.03.00 “Probācijas īstenošana” piešķirtajiem līdzekļiem, ja šādu pakalpojumu nepieciešamība ir noteikta bērna profilakses lietā.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2023. gadā palielināt apropriāciju Klimata un enerģētikas ministrijai resursiem no dotācijas no vispārējiem ieņēmumiem un izdevumiem 2023. gadā sagaidāmo elektroenerģijas cenas ārkārtas pieaugumu kompensēšanai atbilstoši valsts pamatbudžeta ieņēmumos papildu ieskaitītajam akciju sabiedrības “Latvenergo” dividenžu maksājumu (par 2022. pārskata gadu) apmēram,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Ekonomikas ministrijai resursiem no dotācijas no vispārējiem ieņēmumiem un izdevumiem naftas produktu rezervju uzturēšanai atbilstoši budžetā ieskaitāmās valsts nodevas par naftas produktu drošības rezervju uzturēšanu un pievienotās vērtības nodokļa apmēram, ja ir pieņemts attiecīgs Ministru kabineta lēmums un Saeimas Budžeta un finanšu (nodokļu) komisija piecu darba dienu laikā no attiecīgās informācijas saņemšanas dienas ir to izskatījusi un nav iebildusi pret apropriācijas palielinājumu.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 budžeta programmā 33.00.00 “Ekonomikas attīstības programma” ieskaitītie līdzekļi izmantojami atbalsta pasākumiem Latvijas uzņēmējiem jaunu eksporta tirgu apguvē un eksporta palielināšanā uz prioritāriem mērķa tirgiem, tūrisma attīstības pasākumiem, mājokļa pieejamības un administrēšanas izmaksu segšanai.</w:t>
      </w:r>
    </w:p>
    <w:p w:rsidP="00000000" w:rsidRDefault="00000000" w:rsidR="00000000" w:rsidRPr="00000000" w:rsidDel="00000000">
      <w:pPr>
        <w:numPr>
          <w:ilvl w:val="0"/>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minētajiem mērķiem apropriācijas pārdale starp Ekonomikas ministriju un citiem budžeta resoriem tiek veikta kā transferta pārskaitījums.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saskaņā ar Lauksaimniecības un lauku attīstības likumu un Attīstības finanšu institūcijas likumu valsts 250 000 000 </w:t>
      </w:r>
      <w:r w:rsidR="00000000" w:rsidRPr="00000000" w:rsidDel="00000000">
        <w:rPr>
          <w:i w:val="1"/>
          <w:rtl w:val="0"/>
        </w:rPr>
        <w:t xml:space="preserve">euro</w:t>
      </w:r>
      <w:r w:rsidR="00000000" w:rsidRPr="00000000" w:rsidDel="00000000">
        <w:rPr>
          <w:rtl w:val="0"/>
        </w:rPr>
        <w:t xml:space="preserve"> apmērā atbild par akciju sabiedrības “Attīstības finanšu institūcija Altum” izsniegtajām garantijām.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budžeta apakšprogrammā 41.03.00 “Iemaksas starptautiskajās organizācijās” un veikt maksājumu Starptautiskajam Valūtas fondam, ja saskaņā ar likuma “Par Latvijas Republikas iestāšanos Starptautiskajā Valūtas fondā” 5. pantu izdotās parādzīmes noteikumiem saņemts pieprasījums no Starptautiskā Valūtas fonda veikt maksājumu, un informēt par to Saeimas Budžeta un finanšu (nodokļu) komisiju.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budžeta apakšprogrammā 41.03.00 “Iemaksas starptautiskajās organizācijās” un veikt iemaksu Starptautiskā Valūtas fonda Nabadzības mazināšanas un izaugsmes trasta fondā atbalsta sniegšanai Krievijas kara Ukrainā izraisītās globālās ekonomikas un pārtikas krīzes risināšanā, ja ir saņemts pieprasījums no Starptautiskā Valūtas fonda un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budžetā, nepārsniedzot Starptautiskā Valūtas fonda piešķirto speciālo aizņēmuma tiesību asignējumu Latvijas Republikai, lai veiktu aizdevumu un ieguldījumu atbilstoši Starptautiskā Valūtas fonda priekšlikumiem par speciālo aizņēmuma tiesību tālāku aizdošanu un ieguldīšanu,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šajā likumā noteikto valsts budžeta aizdevumu kopējo palielinājumu Starptautiskā Valūtas fonda Speciālo aizņēmuma tiesību aizdevumu apmērā, ja ir pieņemts attiecīgs Ministru kabineta lēmums un Saeimas Budžeta un finanšu (nodokļu) komisija piecu darba dienu laikā no attiecīgās informācijas saņemšanas dienas ir to izskatījusi un nav iebildusi.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2021.—2023. gadam, 2022.—2024. gadam un 2023.—2025. gadam piešķirtā finansējuma, ja tam nav negatīvas ietekmes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pārdali.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 “Valsts nekustamie īpašumi” vai sabiedrība ar ierobežotu atbildību “Publisko aktīvu pārvaldītājs Possessor” valsts nekustamā īpašuma atsavināšanas rezultātā iegūtos līdzekļus pēc atsavināšanas izdevumu atskaitīšanas izlieto tās pārvaldīšanā esošo valsts nekustamo īpašumu pārvaldīšanai (izņemot netiešo izmaksu segšanai), tajā skaitā valsts nekustamo īpašumu uzlabošanas darbu veikšanai, vidi degradējošo objektu sakārtošanai un energoefektivitātes pasākumu īstenošanai. Minētos līdzekļus, kas 2023. gadā nav izlietoti valsts īpašumā un valsts akciju sabiedrības “Valsts nekustamie īpašumi” vai sabiedrības ar ierobežotu atbildību “Publisko aktīvu pārvaldītājs Possessor” pārvaldīšanā esošo valsts nekustamo īpašumu pārvaldīšanai, līdz 2023. gada 31. decembrim ieskaita valsts budžetā. Valsts akciju sabiedrībai “Valsts nekustamie īpašumi” vai sabiedrībai ar ierobežotu atbildību “Publisko aktīvu pārvaldītājs Possessor” ir tiesības atsavināšanas izdevumu segšanai paredzētos valsts nekustamā īpašuma atsavināšanas rezultātā iegūtos līdzekļus izlietot arī tās pārvaldīšanā esošo valsts nekustamo īpašumu pārvaldīšanai un šajā daļā noteikto pārvaldīšanas darbību, kas tiek segtas no valsts nekustamā īpašuma atsavināšanas rezultātā iegūtajiem līdzekļiem, priekšfinansēšanai.</w:t>
      </w:r>
    </w:p>
    <w:p w:rsidP="00000000" w:rsidRDefault="00000000" w:rsidR="00000000" w:rsidRPr="00000000" w:rsidDel="00000000">
      <w:pPr>
        <w:numPr>
          <w:ilvl w:val="0"/>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lēmums par valsts nekustamā īpašuma atsavināšanu, kuru Publiskas personas mantas atsavināšanas likumā noteiktajā kārtībā organizē ministrija vai cita centrālā valsts iestāde, kuras valdījumā ir attiecīgais valsts nekustamais īpašums, pieņemts līdz 2022. gada 31. decembrim, finanšu ministram ir tiesības palielināt attiecīgajai ministrijai vai citai centrālajai valsts iestādei apropriāciju resursiem no dotācijas no vispārējiem ieņēmumiem un izdevumiem 50 procentu apmērā no šāda valsts nekustamā īpašuma atsavināšanas rezultātā valsts budžetā ieskaitītajiem līdzekļiem. Apropriāciju palielina, ja ir pieņemts Ministru kabineta lēmums par finansējuma summu un to, kādam mērķim atsavināšanas rezultātā iegūtie līdzekļi piešķirami apropriācijas palielināšanai resursiem no dotācijas no vispārējiem ieņēmumiem un izdevumiem, un Saeimas Budžeta un finanšu (nodokļu) komisija piecu darba dienu laikā no attiecīgās informācijas saņemšanas dienas ir to izskatījusi un nav iebildusi pret apropriācijas palielinājumu. Apropriāciju atļauts piešķirt kapitālieguldījumiem vai neatliekamiem pasākumiem ar pozitīvu sociālekonomisku efektu.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Papildus Valsts un pašvaldību institūciju amatpersonu un darbinieku atlīdzības likuma 16. pantā noteiktajam un atbilstoši institūcijā noteiktajai prēmēšanas kārtībai un kritērijiem var prēmēt, ja Valsts ieņēmumu dienesta, prokuratūras, Korupcijas novēršanas un apkarošanas biroja, Finanšu izlūkošanas dienesta, Iekšējās drošības biroja, Valsts robežsardzes un Valsts policijas amatpersonu (darbinieku) tiešas darbības rezultātā atklāti un novērsti liela apjoma noziedzīgi nodarījumi valsts ieņēmumu un nodokļu administrēšanas jomā, kā arī valsts institūciju dienestā, kuri radījuši vai varēja radīt būtisku kaitējumu un kurus izdarījušas valsts amatpersonas, aizturētas kontrabandas kravas un aizliegtu priekšmetu ievešana un izvešana, novērsta būtiska noziedzīgi iegūtu līdzekļu legalizācija un tā rezultātā ir palielinājušies valsts budžeta ieņēmumi vai tiek prognozēts būtisks šo ieņēmumu palielinājums, Ministru kabinets pieņem lēmumu par attiecīgo institūciju konkrēto amatpersonu (darbinieku) motivēšanu un apropriācijas palielinājumam novirzāmo finansējuma apjomu. Finanšu ministram ir tiesības palielināt apropriāciju izdevumiem, ja Saeimas Budžeta un finanšu (nodokļu) komisija piecu darba dienu laikā no attiecīgās informācijas saņemšanas dienas ir to izskatījusi un nav iebildusi pret apropriācijas palielinājumu.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2023. gada sešu un deviņu mēnešu laikā ārvalstu filmu uzņemšanas rezultātā ir palielinājušies nodokļu ieņēmumi vai tiek prognozēts nodokļu ieņēmumu palielinājums, Ministru kabinets pieņem lēmumu par apropriācijas palielinājuma apjomu līdzfinansējumam ārvalstu filmu uzņemšanai Latvijā. Finanšu ministram ir tiesības palielināt apropriāciju izdevumiem līdzfinansējumam ārvalstu filmu uzņemšanai Latvijā, ja Saeimas Budžeta un finanšu (nodokļu) komisija piecu darba dienu laikā no attiecīgās informācijas saņemšanas dienas ir to izskatījusi un nav iebildusi pret apropriācijas palielinājumu.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2023. gadā faktiskie ieņēmumi no naudas sodiem, ko uzliek Valsts policija par pārkāpumiem ceļu satiksmē, kuri fiksēti ar valsts akciju sabiedrības “Ceļu satiksmes drošības direkcija” un valsts sabiedrības ar ierobežotu atbildību “Latvijas Valsts ceļi” tehniskajiem līdzekļiem, pārsniedz šajā likumā plānoto apmēru un saistībā ar to palielinās valsts akciju sabiedrības “Ceļu satiksmes drošības direkcija” sagatavojamo un nosūtāmo lēmumu skaits un ar to saistītie valsts akciju sabiedrības “Ceļu satiksmes drošības direkcija” izdevumi, finanšu ministram ir tiesības atbilstoši Ministru kabineta lēmumam, kas pieņemts, izskatot Iekšlietu ministrijas priekšlikumus, palielināt Iekšlietu ministrijai apropriāciju resursiem no dotācijas no vispārējiem ieņēmumiem un izdevumiem,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10.00.00 “Noziedzīgi iegūtu līdzekļu legalizācijas un terorisma finansēšanas novēršana” noteikto apropriāciju 287 504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atbilstoši Ministru kabineta apstiprinātajam pasākumu plānam noziedzīgi iegūtu līdzekļu legalizācijas, terorisma un proliferācijas finansēšanas novēršanai,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12.00.00 “Finansējums veselības jomas pasākumiem Covid-19 infekcijas izplatības ierobežošanai” noteikto apropriāciju 63 402 515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Covid-19 izplatību saistītā valsts apdraudējuma un tā seku novēršanas un pārvarēšanas pasākumiem,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ar Covid-19 izplatību saistītā valsts apdraudējuma un tā seku novēršanas un pārvarēšanas pasākumiem un  palielināt  šā  likuma 33. pantā  noteikto  maksimālo  valsts  parādu  2023. gada  beigās  un  paplašināt  valdības  rīcības  pieļaujamās  robežas  valdības  saistību  izpildei,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15.00.00 “Finansējums Energoresursu cenu ārkārtēja pieauguma samazinājuma pasākumu likumā noteikto terminēto atbalsta pasākumu īstenošanai” noteikto apropriāciju 139 936 631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Energoresursu cenu ārkārtēja pieauguma samazinājuma pasākumu likumā noteikto terminēto atbalsta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Energoresursu cenu ārkārtēja pieauguma samazinājuma pasākumu likumā noteikto terminēto atbalsta pasākumu īstenošanai un  palielināt  šā  likuma 33. pantā  noteikto  maksimālo  valsts  parādu  2023. gada  beigās  un  paplašināt  valdības  rīcības  pieļaujamās  robežas  valdības  saistību  izpildei,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17.00.00 “Finansējums Ukrainas civiliedzīvotāju atbalsta likumā noteikto pasākumu īstenošanai” noteikto apropriāciju 96 125 405</w:t>
      </w:r>
      <w:r w:rsidR="00000000" w:rsidRPr="00000000" w:rsidDel="00000000">
        <w:rPr>
          <w:i w:val="1"/>
          <w:rtl w:val="0"/>
        </w:rPr>
        <w:t xml:space="preserve"> euro</w:t>
      </w:r>
      <w:r w:rsidR="00000000" w:rsidRPr="00000000" w:rsidDel="00000000">
        <w:rPr>
          <w:rtl w:val="0"/>
        </w:rPr>
        <w:t xml:space="preserve"> apmērā finanšu ministrs pārdala ministrijai vai citai centrālajai valsts iestādei Ukrainas civiliedzīvotāju atbalsta likumā noteikto pasākumu īstenošanai atbilstoši Ministru kabineta apstiprinātajam pasākumu plānam atbalsta sniegšanai Ukrainas civiliedzīvotājiem Latvijas Republikā 2023. gadā,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Ukrainas civiliedzīvotāju atbalsta likumā noteikto pasākumu īstenošanai atbilstoši Ministru kabineta apstiprinātajam pasākumu plānam atbalsta sniegšanai Ukrainas civiliedzīvotājiem Latvijas Republikā 2023. gadā un  palielināt  šā  likuma 33. pantā  noteikto  maksimālo  valsts  parādu  2023. gada  beigās  un  paplašināt  valdības  rīcības  pieļaujamās  robežas  valdības  saistību  izpildei,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18.00.00 “Finansējums valsts drošības stiprināšanas pasākumiem” noteikto apropriāciju 282 083 221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ar valsts drošību saistītu pasākumu īstenošanai un  palielināt  šā  likuma 33. pantā  noteikto  maksimālo  valsts  parādu  2023. gada  beigās  un  paplašināt  valdības  rīcības  pieļaujamās  robežas  valdības  saistību  izpildei šā likuma 5. panta 3. un 5. punktā noteikto pasākumu īstenošanai,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centrālai valsts iestādei no šā panta pirmajā daļā minētās programmas pārdalīto un noteiktajiem mērķiem neizmantoto finansējumu var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19.00.00 “Finansējums energoresursu un ēdināšanas izdevumu pieauguma kompensēšanai” noteikto apropriāciju 14 621 393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ir tiesības ministrijām un citām centrālajām valsts iestādēm līdz 2023. gada 30. septembrim nepārdalīto šā likuma 62. un 67. pantā minētajās budžeta resora “74. Gadskārtējā valsts budžeta izpildes procesā pārdalāmais finansējums” programmās, kā arī programmā 01.00.00 “Apropriācijas rezerve” noteikto apropriāciju pārdalīt uz programmu 02.00.00 “Līdzekļi neparedzētiem gadījumiem”.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Valsts var sniegt vispārēju atbalstu Ukrainas sabiedrībai ar starptautisko finanšu institūciju vai Eiropas Savienības institūciju starpniecību, tai skaitā sniegt tām galvojumu, aizdevumu vai grantu iemaksu. Finanšu ministrs Latvijas Republikas vārdā paraksta aizdevumu vai galvojumu vai grantu līgumus ar starptautiskajām finanšu institūcijām vai Eiropas Savienības institūcijām par atbalstu Ukrainas sabiedrībai un izsniedz attiecīgo aizdevumu vai galvojumu vai veic grantu iemaksas un palielina gadskārtējā valsts budžeta likumā noteikto aizdevuma palielinājuma kopējo apjomu vai uz valsts budžetu attiecināmo valsts vārdā sniegto galvojumu parāda saistību apmēru, ja secīgi ir ievēroti šādi nosacījumi:</w:t>
      </w:r>
    </w:p>
    <w:p w:rsidP="00000000" w:rsidRDefault="00000000" w:rsidR="00000000" w:rsidRPr="00000000" w:rsidDel="00000000">
      <w:pPr>
        <w:numPr>
          <w:ilvl w:val="1"/>
          <w:numId w:val="6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attiecīgs Ministru kabineta lēmums par galvojumu vai aizdevumu izsniegšanu vai grantu iemaksu veikšanu, un Ministru kabinets ir atbalstījis attiecīgā aizdevuma, galvojuma vai grantu līguma projektu;</w:t>
      </w:r>
    </w:p>
    <w:p w:rsidP="00000000" w:rsidRDefault="00000000" w:rsidR="00000000" w:rsidRPr="00000000" w:rsidDel="00000000">
      <w:pPr>
        <w:numPr>
          <w:ilvl w:val="1"/>
          <w:numId w:val="6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Saeimas Budžeta un finanšu (nodokļu) komisija piecu darbdienu laikā no attiecīgās informācijas saņemšanas ir izskatījusi un atbalstījusi Ministru kabineta lēmumu par galvojumu vai aizdevumu izsniegšanu vai grantu iemaksu veikšanu.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nākamajā dienā pēc tā izsludināšanas, un šā likuma darbība attiecināma uz visu saimniecisko gadu.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23-TA-295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23-TA-295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abstractNum>
  <w:abstractNum w:abstractNumId="59">
    <w:multiLevelType w:val="hybridMultilevel"/>
    <w:lvl w:ilvl="0">
      <w:start w:val="1"/>
      <w:numFmt w:val="bullet"/>
      <w:lvlRestart w:val="1"/>
      <w:lvlText w:val=""/>
      <w:lvlJc w:val="left"/>
      <w:pPr>
        <w:ind w:left="0" w:firstLine="705"/>
      </w:pPr>
      <w:rPr>
        <w:u w:val="none"/>
      </w:rPr>
    </w:lvl>
  </w:abstractNum>
  <w:abstractNum w:abstractNumId="60">
    <w:multiLevelType w:val="hybridMultilevel"/>
    <w:lvl w:ilvl="0">
      <w:start w:val="1"/>
      <w:numFmt w:val="bullet"/>
      <w:lvlRestart w:val="1"/>
      <w:lvlText w:val=""/>
      <w:lvlJc w:val="left"/>
      <w:pPr>
        <w:ind w:left="0" w:firstLine="705"/>
      </w:pPr>
      <w:rPr>
        <w:u w:val="none"/>
      </w:rPr>
    </w:lvl>
  </w:abstractNum>
  <w:abstractNum w:abstractNumId="61">
    <w:multiLevelType w:val="hybridMultilevel"/>
    <w:lvl w:ilvl="0">
      <w:start w:val="1"/>
      <w:numFmt w:val="bullet"/>
      <w:lvlRestart w:val="1"/>
      <w:lvlText w:val=""/>
      <w:lvlJc w:val="left"/>
      <w:pPr>
        <w:ind w:left="0" w:firstLine="705"/>
      </w:pPr>
      <w:rPr>
        <w:u w:val="none"/>
      </w:rPr>
    </w:lvl>
  </w:abstractNum>
  <w:abstractNum w:abstractNumId="62">
    <w:multiLevelType w:val="hybridMultilevel"/>
    <w:lvl w:ilvl="0">
      <w:start w:val="1"/>
      <w:numFmt w:val="bullet"/>
      <w:lvlRestart w:val="1"/>
      <w:lvlText w:val=""/>
      <w:lvlJc w:val="left"/>
      <w:pPr>
        <w:ind w:left="0" w:firstLine="705"/>
      </w:pPr>
      <w:rPr>
        <w:u w:val="none"/>
      </w:rPr>
    </w:lvl>
  </w:abstractNum>
  <w:abstractNum w:abstractNumId="63">
    <w:multiLevelType w:val="hybridMultilevel"/>
    <w:lvl w:ilvl="0">
      <w:start w:val="1"/>
      <w:numFmt w:val="bullet"/>
      <w:lvlRestart w:val="1"/>
      <w:lvlText w:val=""/>
      <w:lvlJc w:val="left"/>
      <w:pPr>
        <w:ind w:left="0" w:firstLine="705"/>
      </w:pPr>
      <w:rPr>
        <w:u w:val="none"/>
      </w:rPr>
    </w:lvl>
  </w:abstractNum>
  <w:abstractNum w:abstractNumId="64">
    <w:multiLevelType w:val="hybridMultilevel"/>
    <w:lvl w:ilvl="0">
      <w:start w:val="1"/>
      <w:numFmt w:val="bullet"/>
      <w:lvlRestart w:val="1"/>
      <w:lvlText w:val=""/>
      <w:lvlJc w:val="left"/>
      <w:pPr>
        <w:ind w:left="0" w:firstLine="705"/>
      </w:pPr>
      <w:rPr>
        <w:u w:val="none"/>
      </w:rPr>
    </w:lvl>
  </w:abstractNum>
  <w:abstractNum w:abstractNumId="65">
    <w:multiLevelType w:val="hybridMultilevel"/>
    <w:lvl w:ilvl="0">
      <w:start w:val="1"/>
      <w:numFmt w:val="bullet"/>
      <w:lvlRestart w:val="1"/>
      <w:lvlText w:val=""/>
      <w:lvlJc w:val="left"/>
      <w:pPr>
        <w:ind w:left="0" w:firstLine="705"/>
      </w:pPr>
      <w:rPr>
        <w:u w:val="none"/>
      </w:rPr>
    </w:lvl>
  </w:abstractNum>
  <w:abstractNum w:abstractNumId="66">
    <w:multiLevelType w:val="hybridMultilevel"/>
    <w:lvl w:ilvl="0">
      <w:start w:val="1"/>
      <w:numFmt w:val="bullet"/>
      <w:lvlRestart w:val="1"/>
      <w:lvlText w:val=""/>
      <w:lvlJc w:val="left"/>
      <w:pPr>
        <w:ind w:left="0" w:firstLine="705"/>
      </w:pPr>
      <w:rPr>
        <w:u w:val="none"/>
      </w:rPr>
    </w:lvl>
  </w:abstractNum>
  <w:abstractNum w:abstractNumId="67">
    <w:multiLevelType w:val="hybridMultilevel"/>
    <w:lvl w:ilvl="0">
      <w:start w:val="1"/>
      <w:numFmt w:val="bullet"/>
      <w:lvlRestart w:val="1"/>
      <w:lvlText w:val=""/>
      <w:lvlJc w:val="left"/>
      <w:pPr>
        <w:ind w:left="0" w:firstLine="705"/>
      </w:pPr>
      <w:rPr>
        <w:u w:val="none"/>
      </w:rPr>
    </w:lvl>
  </w:abstractNum>
  <w:abstractNum w:abstractNumId="68">
    <w:multiLevelType w:val="hybridMultilevel"/>
    <w:lvl w:ilvl="0">
      <w:start w:val="1"/>
      <w:numFmt w:val="bullet"/>
      <w:lvlRestart w:val="1"/>
      <w:lvlText w:val=""/>
      <w:lvlJc w:val="left"/>
      <w:pPr>
        <w:ind w:left="0" w:firstLine="705"/>
      </w:pPr>
      <w:rPr>
        <w:u w:val="none"/>
      </w:rPr>
    </w:lvl>
  </w:abstractNum>
  <w:abstractNum w:abstractNumId="6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likumprojekts_23-TA-295.docx</dc:title>
</cp:coreProperties>
</file>

<file path=docProps/custom.xml><?xml version="1.0" encoding="utf-8"?>
<Properties xmlns="http://schemas.openxmlformats.org/officeDocument/2006/custom-properties" xmlns:vt="http://schemas.openxmlformats.org/officeDocument/2006/docPropsVTypes"/>
</file>